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AD" w:rsidRPr="003137F9" w:rsidRDefault="003E1E57" w:rsidP="008F46BE">
      <w:pPr>
        <w:jc w:val="center"/>
        <w:rPr>
          <w:rFonts w:ascii="Verdana" w:hAnsi="Verdana"/>
          <w:b/>
          <w:sz w:val="32"/>
          <w:szCs w:val="32"/>
        </w:rPr>
      </w:pPr>
      <w:bookmarkStart w:id="0" w:name="_GoBack"/>
      <w:r w:rsidRPr="003137F9">
        <w:rPr>
          <w:rFonts w:ascii="Verdana" w:hAnsi="Verdana"/>
          <w:b/>
          <w:sz w:val="32"/>
          <w:szCs w:val="32"/>
        </w:rPr>
        <w:t>The 201</w:t>
      </w:r>
      <w:r w:rsidR="00255319" w:rsidRPr="003137F9">
        <w:rPr>
          <w:rFonts w:ascii="Verdana" w:hAnsi="Verdana"/>
          <w:b/>
          <w:sz w:val="32"/>
          <w:szCs w:val="32"/>
        </w:rPr>
        <w:t>5</w:t>
      </w:r>
      <w:r w:rsidR="004E6EAD" w:rsidRPr="003137F9">
        <w:rPr>
          <w:rFonts w:ascii="Verdana" w:hAnsi="Verdana"/>
          <w:b/>
          <w:sz w:val="32"/>
          <w:szCs w:val="32"/>
        </w:rPr>
        <w:t xml:space="preserve"> Hunger Report by the Numbers</w:t>
      </w:r>
    </w:p>
    <w:p w:rsidR="004E6EAD" w:rsidRPr="003137F9" w:rsidRDefault="001A23DF">
      <w:pPr>
        <w:rPr>
          <w:rFonts w:ascii="Verdana" w:hAnsi="Verdana"/>
          <w:b/>
        </w:rPr>
      </w:pPr>
      <w:r w:rsidRPr="003137F9">
        <w:rPr>
          <w:rFonts w:ascii="Verdana" w:hAnsi="Verdana"/>
          <w:b/>
        </w:rPr>
        <w:t>Progress</w:t>
      </w:r>
      <w:r w:rsidR="00A24001" w:rsidRPr="003137F9">
        <w:rPr>
          <w:rFonts w:ascii="Verdana" w:hAnsi="Verdana"/>
          <w:b/>
        </w:rPr>
        <w:t xml:space="preserve"> against poverty </w:t>
      </w:r>
    </w:p>
    <w:p w:rsidR="00A24001" w:rsidRPr="003137F9" w:rsidRDefault="004912EF" w:rsidP="00A24001">
      <w:pPr>
        <w:autoSpaceDE w:val="0"/>
        <w:autoSpaceDN w:val="0"/>
        <w:adjustRightInd w:val="0"/>
        <w:spacing w:after="0" w:line="240" w:lineRule="auto"/>
        <w:rPr>
          <w:rFonts w:ascii="Garamond" w:hAnsi="Garamond" w:cs="Whitney-Book"/>
        </w:rPr>
      </w:pPr>
      <w:r w:rsidRPr="003137F9">
        <w:rPr>
          <w:rFonts w:ascii="Garamond" w:hAnsi="Garamond"/>
          <w:bCs/>
        </w:rPr>
        <w:t>Goal 1 of the Millennium Development Goals (MDGs) calls for cutting extreme poverty in half between 1990 and 2015.</w:t>
      </w:r>
      <w:r w:rsidRPr="003137F9">
        <w:rPr>
          <w:rFonts w:ascii="Garamond" w:hAnsi="Garamond" w:cs="Whitney-Book"/>
        </w:rPr>
        <w:t xml:space="preserve"> </w:t>
      </w:r>
      <w:r w:rsidR="00A24001" w:rsidRPr="003137F9">
        <w:rPr>
          <w:rFonts w:ascii="Garamond" w:hAnsi="Garamond" w:cs="Whitney-Book"/>
        </w:rPr>
        <w:t xml:space="preserve">In 1990, almost half of the population in developing regions lived in extreme poverty (less than $1.25 a day). This rate dropped to 22 percent by 2010, </w:t>
      </w:r>
      <w:r w:rsidRPr="003137F9">
        <w:rPr>
          <w:rFonts w:ascii="Garamond" w:hAnsi="Garamond" w:cs="Whitney-Book"/>
        </w:rPr>
        <w:t>achieving the MDG target five years ahead of schedule</w:t>
      </w:r>
      <w:r w:rsidR="00A24001" w:rsidRPr="003137F9">
        <w:rPr>
          <w:rFonts w:ascii="Garamond" w:hAnsi="Garamond" w:cs="Whitney-Book"/>
        </w:rPr>
        <w:t>.</w:t>
      </w:r>
      <w:r w:rsidR="00A24001" w:rsidRPr="003137F9">
        <w:rPr>
          <w:rStyle w:val="EndnoteReference"/>
          <w:rFonts w:ascii="Garamond" w:hAnsi="Garamond" w:cstheme="minorHAnsi"/>
        </w:rPr>
        <w:endnoteReference w:id="1"/>
      </w:r>
    </w:p>
    <w:p w:rsidR="00A24001" w:rsidRPr="003137F9" w:rsidRDefault="00A24001" w:rsidP="00A24001">
      <w:pPr>
        <w:autoSpaceDE w:val="0"/>
        <w:autoSpaceDN w:val="0"/>
        <w:adjustRightInd w:val="0"/>
        <w:spacing w:after="0" w:line="240" w:lineRule="auto"/>
        <w:rPr>
          <w:rFonts w:ascii="Garamond" w:hAnsi="Garamond" w:cstheme="minorHAnsi"/>
        </w:rPr>
      </w:pPr>
    </w:p>
    <w:p w:rsidR="00F64CC9" w:rsidRPr="003137F9" w:rsidRDefault="00A24001" w:rsidP="00F64CC9">
      <w:pPr>
        <w:autoSpaceDE w:val="0"/>
        <w:autoSpaceDN w:val="0"/>
        <w:adjustRightInd w:val="0"/>
        <w:spacing w:after="0" w:line="240" w:lineRule="auto"/>
        <w:rPr>
          <w:rFonts w:ascii="Garamond" w:hAnsi="Garamond" w:cs="Whitney-Book"/>
        </w:rPr>
      </w:pPr>
      <w:r w:rsidRPr="003137F9">
        <w:rPr>
          <w:rFonts w:ascii="Garamond" w:hAnsi="Garamond" w:cs="Whitney-Book"/>
        </w:rPr>
        <w:t>The absolute number of people living in extreme poverty fell from 1.9 billion in 1990 to 1.2 billion in 2010.</w:t>
      </w:r>
      <w:r w:rsidRPr="003137F9">
        <w:rPr>
          <w:rStyle w:val="EndnoteReference"/>
          <w:rFonts w:ascii="Garamond" w:hAnsi="Garamond" w:cstheme="minorHAnsi"/>
        </w:rPr>
        <w:endnoteReference w:id="2"/>
      </w:r>
      <w:r w:rsidR="00E27B3D" w:rsidRPr="003137F9">
        <w:rPr>
          <w:rFonts w:ascii="Garamond" w:hAnsi="Garamond" w:cs="Whitney-Book"/>
        </w:rPr>
        <w:t xml:space="preserve"> </w:t>
      </w:r>
      <w:r w:rsidR="004912EF" w:rsidRPr="003137F9">
        <w:rPr>
          <w:rFonts w:ascii="Garamond" w:hAnsi="Garamond"/>
        </w:rPr>
        <w:t>Poverty rates are falling in every developing region.</w:t>
      </w:r>
      <w:r w:rsidR="004912EF" w:rsidRPr="003137F9">
        <w:rPr>
          <w:rFonts w:ascii="Garamond" w:hAnsi="Garamond" w:cs="Whitney-Book"/>
        </w:rPr>
        <w:t xml:space="preserve">  Currently, t</w:t>
      </w:r>
      <w:r w:rsidR="00F64CC9" w:rsidRPr="003137F9">
        <w:rPr>
          <w:rFonts w:ascii="Garamond" w:hAnsi="Garamond" w:cs="Whitney-Book"/>
        </w:rPr>
        <w:t xml:space="preserve">he overwhelming majority of people living on less than </w:t>
      </w:r>
      <w:r w:rsidR="004912EF" w:rsidRPr="003137F9">
        <w:rPr>
          <w:rFonts w:ascii="Garamond" w:hAnsi="Garamond" w:cs="Whitney-Book"/>
        </w:rPr>
        <w:t>$1.25 a day reside in</w:t>
      </w:r>
      <w:r w:rsidR="00F64CC9" w:rsidRPr="003137F9">
        <w:rPr>
          <w:rFonts w:ascii="Garamond" w:hAnsi="Garamond" w:cs="Whitney-Book"/>
        </w:rPr>
        <w:t xml:space="preserve"> two regions: South Asia and sub-Saharan Africa.</w:t>
      </w:r>
      <w:r w:rsidR="00F64CC9" w:rsidRPr="003137F9">
        <w:rPr>
          <w:rStyle w:val="EndnoteReference"/>
          <w:rFonts w:ascii="Garamond" w:hAnsi="Garamond" w:cstheme="minorHAnsi"/>
        </w:rPr>
        <w:endnoteReference w:id="3"/>
      </w:r>
    </w:p>
    <w:p w:rsidR="00F64CC9" w:rsidRPr="00F64CC9" w:rsidRDefault="00F64CC9" w:rsidP="00F64CC9">
      <w:pPr>
        <w:autoSpaceDE w:val="0"/>
        <w:autoSpaceDN w:val="0"/>
        <w:adjustRightInd w:val="0"/>
        <w:spacing w:after="0" w:line="240" w:lineRule="auto"/>
        <w:rPr>
          <w:rFonts w:cs="Whitney-Book"/>
        </w:rPr>
      </w:pPr>
    </w:p>
    <w:p w:rsidR="005F5F6B" w:rsidRPr="003137F9" w:rsidRDefault="005F5F6B" w:rsidP="005F5F6B">
      <w:pPr>
        <w:rPr>
          <w:rFonts w:ascii="Verdana" w:hAnsi="Verdana"/>
          <w:b/>
        </w:rPr>
      </w:pPr>
      <w:r w:rsidRPr="003137F9">
        <w:rPr>
          <w:rFonts w:ascii="Verdana" w:hAnsi="Verdana"/>
          <w:b/>
        </w:rPr>
        <w:t>Hunger</w:t>
      </w:r>
      <w:r w:rsidR="00E74D07" w:rsidRPr="003137F9">
        <w:rPr>
          <w:rFonts w:ascii="Verdana" w:hAnsi="Verdana"/>
          <w:b/>
        </w:rPr>
        <w:t xml:space="preserve"> </w:t>
      </w:r>
      <w:r w:rsidR="008457BA" w:rsidRPr="003137F9">
        <w:rPr>
          <w:rFonts w:ascii="Verdana" w:hAnsi="Verdana"/>
          <w:b/>
        </w:rPr>
        <w:t>declining</w:t>
      </w:r>
      <w:r w:rsidR="00CF0D0E" w:rsidRPr="003137F9">
        <w:rPr>
          <w:rFonts w:ascii="Verdana" w:hAnsi="Verdana"/>
          <w:b/>
        </w:rPr>
        <w:t xml:space="preserve"> around the worl</w:t>
      </w:r>
      <w:r w:rsidR="008C7766" w:rsidRPr="003137F9">
        <w:rPr>
          <w:rFonts w:ascii="Verdana" w:hAnsi="Verdana"/>
          <w:b/>
        </w:rPr>
        <w:t>d</w:t>
      </w:r>
    </w:p>
    <w:p w:rsidR="00C824AF" w:rsidRPr="003137F9" w:rsidRDefault="00C824AF" w:rsidP="00C824AF">
      <w:pPr>
        <w:autoSpaceDE w:val="0"/>
        <w:autoSpaceDN w:val="0"/>
        <w:adjustRightInd w:val="0"/>
        <w:spacing w:after="0" w:line="240" w:lineRule="auto"/>
        <w:rPr>
          <w:rFonts w:ascii="Garamond" w:hAnsi="Garamond"/>
        </w:rPr>
      </w:pPr>
      <w:r w:rsidRPr="003137F9">
        <w:rPr>
          <w:rFonts w:ascii="Garamond" w:hAnsi="Garamond"/>
        </w:rPr>
        <w:t xml:space="preserve">Currently, 13.5 percent of the population in developing countries is </w:t>
      </w:r>
      <w:r w:rsidR="00E27B3D" w:rsidRPr="003137F9">
        <w:rPr>
          <w:rFonts w:ascii="Garamond" w:hAnsi="Garamond" w:cs="FrutigerNeueLTCYR-Light"/>
        </w:rPr>
        <w:t>undernourished</w:t>
      </w:r>
      <w:r w:rsidR="00E27B3D" w:rsidRPr="003137F9">
        <w:rPr>
          <w:rFonts w:ascii="Garamond" w:hAnsi="Garamond"/>
        </w:rPr>
        <w:t xml:space="preserve"> (</w:t>
      </w:r>
      <w:r w:rsidRPr="003137F9">
        <w:rPr>
          <w:rFonts w:ascii="Garamond" w:hAnsi="Garamond"/>
        </w:rPr>
        <w:t>hungry</w:t>
      </w:r>
      <w:r w:rsidR="00E27B3D" w:rsidRPr="003137F9">
        <w:rPr>
          <w:rFonts w:ascii="Garamond" w:hAnsi="Garamond"/>
        </w:rPr>
        <w:t>)</w:t>
      </w:r>
      <w:r w:rsidRPr="003137F9">
        <w:rPr>
          <w:rFonts w:ascii="Garamond" w:hAnsi="Garamond"/>
        </w:rPr>
        <w:t>. In 1990-</w:t>
      </w:r>
      <w:r w:rsidR="00EA558A" w:rsidRPr="003137F9">
        <w:rPr>
          <w:rFonts w:ascii="Garamond" w:hAnsi="Garamond"/>
        </w:rPr>
        <w:t>19</w:t>
      </w:r>
      <w:r w:rsidRPr="003137F9">
        <w:rPr>
          <w:rFonts w:ascii="Garamond" w:hAnsi="Garamond"/>
        </w:rPr>
        <w:t xml:space="preserve">92, 23.4 percent </w:t>
      </w:r>
      <w:r w:rsidR="00EA558A" w:rsidRPr="003137F9">
        <w:rPr>
          <w:rFonts w:ascii="Garamond" w:hAnsi="Garamond"/>
        </w:rPr>
        <w:t xml:space="preserve">of the population </w:t>
      </w:r>
      <w:r w:rsidRPr="003137F9">
        <w:rPr>
          <w:rFonts w:ascii="Garamond" w:hAnsi="Garamond"/>
        </w:rPr>
        <w:t>was hungry.</w:t>
      </w:r>
      <w:r w:rsidRPr="003137F9">
        <w:rPr>
          <w:rStyle w:val="EndnoteReference"/>
          <w:rFonts w:ascii="Garamond" w:hAnsi="Garamond"/>
        </w:rPr>
        <w:endnoteReference w:id="4"/>
      </w:r>
      <w:r w:rsidRPr="003137F9">
        <w:rPr>
          <w:rFonts w:ascii="Garamond" w:hAnsi="Garamond"/>
        </w:rPr>
        <w:t xml:space="preserve"> </w:t>
      </w:r>
      <w:r w:rsidR="00EA558A" w:rsidRPr="003137F9">
        <w:rPr>
          <w:rFonts w:ascii="Garamond" w:hAnsi="Garamond" w:cs="FrutigerLTStd-Light"/>
        </w:rPr>
        <w:t>If the current trend continues</w:t>
      </w:r>
      <w:r w:rsidRPr="003137F9">
        <w:rPr>
          <w:rFonts w:ascii="Garamond" w:hAnsi="Garamond" w:cs="FrutigerLTStd-Light"/>
        </w:rPr>
        <w:t xml:space="preserve"> through 2015, hu</w:t>
      </w:r>
      <w:r w:rsidR="00EA558A" w:rsidRPr="003137F9">
        <w:rPr>
          <w:rFonts w:ascii="Garamond" w:hAnsi="Garamond" w:cs="FrutigerLTStd-Light"/>
        </w:rPr>
        <w:t xml:space="preserve">nger in developing regions will fall to </w:t>
      </w:r>
      <w:r w:rsidR="00E70DE3" w:rsidRPr="003137F9">
        <w:rPr>
          <w:rFonts w:ascii="Garamond" w:hAnsi="Garamond" w:cs="FrutigerLTStd-Light"/>
        </w:rPr>
        <w:t>12.8 percent in 2015—</w:t>
      </w:r>
      <w:r w:rsidRPr="003137F9">
        <w:rPr>
          <w:rFonts w:ascii="Garamond" w:hAnsi="Garamond" w:cs="FrutigerLTStd-Light"/>
        </w:rPr>
        <w:t>1.1 percentage points above the MDG target of 11.7 percent.</w:t>
      </w:r>
      <w:r w:rsidRPr="003137F9">
        <w:rPr>
          <w:rStyle w:val="EndnoteReference"/>
          <w:rFonts w:ascii="Garamond" w:hAnsi="Garamond"/>
        </w:rPr>
        <w:t xml:space="preserve"> </w:t>
      </w:r>
      <w:r w:rsidRPr="003137F9">
        <w:rPr>
          <w:rStyle w:val="EndnoteReference"/>
          <w:rFonts w:ascii="Garamond" w:hAnsi="Garamond"/>
        </w:rPr>
        <w:endnoteReference w:id="5"/>
      </w:r>
    </w:p>
    <w:p w:rsidR="003D19D9" w:rsidRPr="003137F9" w:rsidRDefault="003D19D9" w:rsidP="003D19D9">
      <w:pPr>
        <w:autoSpaceDE w:val="0"/>
        <w:autoSpaceDN w:val="0"/>
        <w:adjustRightInd w:val="0"/>
        <w:spacing w:after="0" w:line="240" w:lineRule="auto"/>
        <w:rPr>
          <w:rFonts w:ascii="Garamond" w:hAnsi="Garamond"/>
        </w:rPr>
      </w:pPr>
    </w:p>
    <w:p w:rsidR="00E27B3D" w:rsidRPr="003137F9" w:rsidRDefault="00E27B3D" w:rsidP="00E27B3D">
      <w:pPr>
        <w:autoSpaceDE w:val="0"/>
        <w:autoSpaceDN w:val="0"/>
        <w:adjustRightInd w:val="0"/>
        <w:spacing w:after="0" w:line="240" w:lineRule="auto"/>
        <w:rPr>
          <w:rFonts w:ascii="Garamond" w:hAnsi="Garamond" w:cs="FrutigerNeueLTCYR-Light"/>
        </w:rPr>
      </w:pPr>
      <w:r w:rsidRPr="003137F9">
        <w:rPr>
          <w:rFonts w:ascii="Garamond" w:hAnsi="Garamond" w:cs="FrutigerNeueLTCYR-Light"/>
        </w:rPr>
        <w:t>About 805 million people are estimated to be chronically hungry in 2012–</w:t>
      </w:r>
      <w:r w:rsidR="00EA558A" w:rsidRPr="003137F9">
        <w:rPr>
          <w:rFonts w:ascii="Garamond" w:hAnsi="Garamond" w:cs="FrutigerNeueLTCYR-Light"/>
        </w:rPr>
        <w:t>20</w:t>
      </w:r>
      <w:r w:rsidRPr="003137F9">
        <w:rPr>
          <w:rFonts w:ascii="Garamond" w:hAnsi="Garamond" w:cs="FrutigerNeueLTCYR-Light"/>
        </w:rPr>
        <w:t xml:space="preserve">14, down more than 100 million </w:t>
      </w:r>
      <w:r w:rsidR="00F11253" w:rsidRPr="003137F9">
        <w:rPr>
          <w:rFonts w:ascii="Garamond" w:hAnsi="Garamond" w:cs="FrutigerNeueLTCYR-Light"/>
        </w:rPr>
        <w:t>during</w:t>
      </w:r>
      <w:r w:rsidRPr="003137F9">
        <w:rPr>
          <w:rFonts w:ascii="Garamond" w:hAnsi="Garamond" w:cs="FrutigerNeueLTCYR-Light"/>
        </w:rPr>
        <w:t xml:space="preserve"> the last decade</w:t>
      </w:r>
      <w:r w:rsidR="00EA558A" w:rsidRPr="003137F9">
        <w:rPr>
          <w:rFonts w:ascii="Garamond" w:hAnsi="Garamond" w:cs="FrutigerNeueLTCYR-Light"/>
        </w:rPr>
        <w:t xml:space="preserve"> and down </w:t>
      </w:r>
      <w:r w:rsidRPr="003137F9">
        <w:rPr>
          <w:rFonts w:ascii="Garamond" w:hAnsi="Garamond" w:cs="FrutigerNeueLTCYR-Light"/>
        </w:rPr>
        <w:t xml:space="preserve">209 million </w:t>
      </w:r>
      <w:r w:rsidR="00EA558A" w:rsidRPr="003137F9">
        <w:rPr>
          <w:rFonts w:ascii="Garamond" w:hAnsi="Garamond" w:cs="FrutigerNeueLTCYR-Light"/>
        </w:rPr>
        <w:t xml:space="preserve">from </w:t>
      </w:r>
      <w:r w:rsidRPr="003137F9">
        <w:rPr>
          <w:rFonts w:ascii="Garamond" w:hAnsi="Garamond" w:cs="FrutigerNeueLTCYR-Light"/>
        </w:rPr>
        <w:t>1990–</w:t>
      </w:r>
      <w:r w:rsidR="00EA558A" w:rsidRPr="003137F9">
        <w:rPr>
          <w:rFonts w:ascii="Garamond" w:hAnsi="Garamond" w:cs="FrutigerNeueLTCYR-Light"/>
        </w:rPr>
        <w:t>19</w:t>
      </w:r>
      <w:r w:rsidRPr="003137F9">
        <w:rPr>
          <w:rFonts w:ascii="Garamond" w:hAnsi="Garamond" w:cs="FrutigerNeueLTCYR-Light"/>
        </w:rPr>
        <w:t>92.</w:t>
      </w:r>
      <w:r w:rsidRPr="003137F9">
        <w:rPr>
          <w:rStyle w:val="EndnoteReference"/>
          <w:rFonts w:ascii="Garamond" w:hAnsi="Garamond"/>
        </w:rPr>
        <w:endnoteReference w:id="6"/>
      </w:r>
    </w:p>
    <w:p w:rsidR="00E27B3D" w:rsidRPr="00797095" w:rsidRDefault="00E27B3D" w:rsidP="00E27B3D">
      <w:pPr>
        <w:autoSpaceDE w:val="0"/>
        <w:autoSpaceDN w:val="0"/>
        <w:adjustRightInd w:val="0"/>
        <w:spacing w:after="0" w:line="240" w:lineRule="auto"/>
        <w:rPr>
          <w:rFonts w:cs="FrutigerNeueLTCYR-Light"/>
        </w:rPr>
      </w:pPr>
    </w:p>
    <w:p w:rsidR="001B5D40" w:rsidRPr="003137F9" w:rsidRDefault="00BE5F35" w:rsidP="003D19D9">
      <w:pPr>
        <w:autoSpaceDE w:val="0"/>
        <w:autoSpaceDN w:val="0"/>
        <w:adjustRightInd w:val="0"/>
        <w:spacing w:after="0" w:line="240" w:lineRule="auto"/>
        <w:rPr>
          <w:rFonts w:ascii="Verdana" w:hAnsi="Verdana" w:cs="Whitney-Book"/>
          <w:b/>
        </w:rPr>
      </w:pPr>
      <w:r w:rsidRPr="003137F9">
        <w:rPr>
          <w:rFonts w:ascii="Verdana" w:hAnsi="Verdana" w:cs="Whitney-Book"/>
          <w:b/>
        </w:rPr>
        <w:t>Gender inequality slow</w:t>
      </w:r>
      <w:r w:rsidR="00EA558A" w:rsidRPr="003137F9">
        <w:rPr>
          <w:rFonts w:ascii="Verdana" w:hAnsi="Verdana" w:cs="Whitney-Book"/>
          <w:b/>
        </w:rPr>
        <w:t>ing</w:t>
      </w:r>
      <w:r w:rsidRPr="003137F9">
        <w:rPr>
          <w:rFonts w:ascii="Verdana" w:hAnsi="Verdana" w:cs="Whitney-Book"/>
          <w:b/>
        </w:rPr>
        <w:t xml:space="preserve"> progress</w:t>
      </w:r>
      <w:r w:rsidR="008620D0" w:rsidRPr="003137F9">
        <w:rPr>
          <w:rFonts w:ascii="Verdana" w:hAnsi="Verdana" w:cs="Whitney-Book"/>
          <w:b/>
        </w:rPr>
        <w:t xml:space="preserve"> against poverty and hunger</w:t>
      </w:r>
    </w:p>
    <w:p w:rsidR="00BE5F35" w:rsidRDefault="00BE5F35" w:rsidP="003D19D9">
      <w:pPr>
        <w:autoSpaceDE w:val="0"/>
        <w:autoSpaceDN w:val="0"/>
        <w:adjustRightInd w:val="0"/>
        <w:spacing w:after="0" w:line="240" w:lineRule="auto"/>
        <w:rPr>
          <w:rFonts w:cs="Whitney-Book"/>
        </w:rPr>
      </w:pPr>
    </w:p>
    <w:p w:rsidR="00BE5F35" w:rsidRPr="003137F9" w:rsidRDefault="00BE5F35" w:rsidP="00BE5F35">
      <w:pPr>
        <w:rPr>
          <w:rFonts w:ascii="Garamond" w:hAnsi="Garamond" w:cs="ArialMTStd-LightCond"/>
        </w:rPr>
      </w:pPr>
      <w:r w:rsidRPr="003137F9">
        <w:rPr>
          <w:rFonts w:ascii="Garamond" w:hAnsi="Garamond"/>
        </w:rPr>
        <w:t>In the year 2000, the International Food Policy Research Institute (</w:t>
      </w:r>
      <w:r w:rsidRPr="003137F9">
        <w:rPr>
          <w:rFonts w:ascii="Garamond" w:hAnsi="Garamond" w:cs="ArialMTStd-LightCond"/>
        </w:rPr>
        <w:t>IFPRI) estimated that improvements in women’s status explained as much as 55 percent of the reduction in child malnutrition between 1970 and 1995. Progress on women’s education alone explained 43 percent of the gains.</w:t>
      </w:r>
      <w:r w:rsidRPr="003137F9">
        <w:rPr>
          <w:rStyle w:val="EndnoteReference"/>
          <w:rFonts w:ascii="Garamond" w:hAnsi="Garamond" w:cs="ArialMTStd-LightCond"/>
        </w:rPr>
        <w:endnoteReference w:id="7"/>
      </w:r>
    </w:p>
    <w:p w:rsidR="00BE5F35" w:rsidRPr="003137F9" w:rsidRDefault="00BE5F35" w:rsidP="00BE5F35">
      <w:pPr>
        <w:rPr>
          <w:rFonts w:ascii="Garamond" w:hAnsi="Garamond" w:cs="Minion-Regular"/>
        </w:rPr>
      </w:pPr>
      <w:r w:rsidRPr="003137F9">
        <w:rPr>
          <w:rFonts w:ascii="Garamond" w:hAnsi="Garamond" w:cs="Times"/>
          <w:color w:val="000000"/>
          <w:szCs w:val="21"/>
        </w:rPr>
        <w:t xml:space="preserve">In 2011, some </w:t>
      </w:r>
      <w:r w:rsidRPr="003137F9">
        <w:rPr>
          <w:rFonts w:ascii="Garamond" w:hAnsi="Garamond" w:cs="Times"/>
          <w:color w:val="000000"/>
          <w:szCs w:val="12"/>
        </w:rPr>
        <w:t>31 million primary-aged girls and 34 million lower secondary-aged girls were out of school.</w:t>
      </w:r>
      <w:r w:rsidRPr="003137F9">
        <w:rPr>
          <w:rStyle w:val="EndnoteReference"/>
          <w:rFonts w:ascii="Garamond" w:hAnsi="Garamond" w:cs="Times"/>
          <w:color w:val="000000"/>
          <w:szCs w:val="12"/>
        </w:rPr>
        <w:endnoteReference w:id="8"/>
      </w:r>
    </w:p>
    <w:p w:rsidR="00BE5F35" w:rsidRPr="003137F9" w:rsidRDefault="008620D0" w:rsidP="00BE5F35">
      <w:pPr>
        <w:rPr>
          <w:rFonts w:ascii="Garamond" w:hAnsi="Garamond"/>
        </w:rPr>
      </w:pPr>
      <w:r w:rsidRPr="003137F9">
        <w:rPr>
          <w:rFonts w:ascii="Garamond" w:hAnsi="Garamond" w:cs="Times"/>
          <w:color w:val="000000"/>
          <w:szCs w:val="21"/>
        </w:rPr>
        <w:t xml:space="preserve">Research in India has found that </w:t>
      </w:r>
      <w:r w:rsidRPr="003137F9">
        <w:rPr>
          <w:rFonts w:ascii="Garamond" w:hAnsi="Garamond"/>
        </w:rPr>
        <w:t>boys and girls ages 15–19 in the wealthiest fifth of the population reach grade 10 on average, but the median boy in the bottom fifth reaches only grade 6 and the median girl only grade 1.</w:t>
      </w:r>
      <w:r w:rsidRPr="003137F9">
        <w:rPr>
          <w:rStyle w:val="EndnoteReference"/>
          <w:rFonts w:ascii="Garamond" w:hAnsi="Garamond"/>
        </w:rPr>
        <w:endnoteReference w:id="9"/>
      </w:r>
    </w:p>
    <w:p w:rsidR="008620D0" w:rsidRPr="003137F9" w:rsidRDefault="008620D0" w:rsidP="00BE5F35">
      <w:pPr>
        <w:rPr>
          <w:rFonts w:ascii="Garamond" w:hAnsi="Garamond" w:cs="Times"/>
          <w:color w:val="000000"/>
          <w:szCs w:val="12"/>
        </w:rPr>
      </w:pPr>
      <w:r w:rsidRPr="003137F9">
        <w:rPr>
          <w:rFonts w:ascii="Garamond" w:hAnsi="Garamond"/>
        </w:rPr>
        <w:t>Only one in two girls in Niger attends primary school. Just one in 10 goes to lower secondary, and one in 50 reaches upper secondary school.</w:t>
      </w:r>
      <w:r w:rsidRPr="003137F9">
        <w:rPr>
          <w:rStyle w:val="EndnoteReference"/>
          <w:rFonts w:ascii="Garamond" w:hAnsi="Garamond"/>
        </w:rPr>
        <w:endnoteReference w:id="10"/>
      </w:r>
      <w:r w:rsidRPr="003137F9">
        <w:rPr>
          <w:rFonts w:ascii="Garamond" w:hAnsi="Garamond" w:cs="Times"/>
          <w:color w:val="000000"/>
          <w:szCs w:val="12"/>
        </w:rPr>
        <w:t xml:space="preserve"> In Niger, 75 percent of girls are married before the age of 18</w:t>
      </w:r>
      <w:r w:rsidR="00EA558A" w:rsidRPr="003137F9">
        <w:rPr>
          <w:rFonts w:ascii="Garamond" w:hAnsi="Garamond" w:cs="Times"/>
          <w:color w:val="000000"/>
          <w:szCs w:val="12"/>
        </w:rPr>
        <w:t xml:space="preserve"> –the</w:t>
      </w:r>
      <w:r w:rsidRPr="003137F9">
        <w:rPr>
          <w:rFonts w:ascii="Garamond" w:hAnsi="Garamond" w:cs="Times"/>
          <w:color w:val="000000"/>
          <w:szCs w:val="12"/>
        </w:rPr>
        <w:t xml:space="preserve"> highest rate of child marriage in the world.</w:t>
      </w:r>
      <w:r w:rsidRPr="003137F9">
        <w:rPr>
          <w:rStyle w:val="EndnoteReference"/>
          <w:rFonts w:ascii="Garamond" w:hAnsi="Garamond" w:cs="Times"/>
          <w:color w:val="000000"/>
          <w:szCs w:val="12"/>
        </w:rPr>
        <w:endnoteReference w:id="11"/>
      </w:r>
    </w:p>
    <w:p w:rsidR="008620D0" w:rsidRPr="003137F9" w:rsidRDefault="00EA558A" w:rsidP="008620D0">
      <w:pPr>
        <w:rPr>
          <w:rFonts w:ascii="Garamond" w:hAnsi="Garamond"/>
        </w:rPr>
      </w:pPr>
      <w:r w:rsidRPr="003137F9">
        <w:rPr>
          <w:rFonts w:ascii="Garamond" w:hAnsi="Garamond"/>
        </w:rPr>
        <w:t xml:space="preserve">Globally, </w:t>
      </w:r>
      <w:r w:rsidR="008620D0" w:rsidRPr="003137F9">
        <w:rPr>
          <w:rFonts w:ascii="Garamond" w:hAnsi="Garamond"/>
        </w:rPr>
        <w:t>there are more than 14 million new child bride</w:t>
      </w:r>
      <w:r w:rsidRPr="003137F9">
        <w:rPr>
          <w:rFonts w:ascii="Garamond" w:hAnsi="Garamond"/>
        </w:rPr>
        <w:t xml:space="preserve"> every year</w:t>
      </w:r>
      <w:r w:rsidR="008620D0" w:rsidRPr="003137F9">
        <w:rPr>
          <w:rFonts w:ascii="Garamond" w:hAnsi="Garamond"/>
        </w:rPr>
        <w:t>—</w:t>
      </w:r>
      <w:r w:rsidRPr="003137F9">
        <w:rPr>
          <w:rFonts w:ascii="Garamond" w:hAnsi="Garamond"/>
        </w:rPr>
        <w:t xml:space="preserve">that’s </w:t>
      </w:r>
      <w:r w:rsidR="008620D0" w:rsidRPr="003137F9">
        <w:rPr>
          <w:rFonts w:ascii="Garamond" w:hAnsi="Garamond"/>
        </w:rPr>
        <w:t xml:space="preserve">39,000 </w:t>
      </w:r>
      <w:r w:rsidRPr="003137F9">
        <w:rPr>
          <w:rFonts w:ascii="Garamond" w:hAnsi="Garamond"/>
        </w:rPr>
        <w:t xml:space="preserve">weddings </w:t>
      </w:r>
      <w:r w:rsidR="008620D0" w:rsidRPr="003137F9">
        <w:rPr>
          <w:rFonts w:ascii="Garamond" w:hAnsi="Garamond"/>
        </w:rPr>
        <w:t>per day.</w:t>
      </w:r>
      <w:r w:rsidR="008620D0" w:rsidRPr="003137F9">
        <w:rPr>
          <w:rStyle w:val="EndnoteReference"/>
          <w:rFonts w:ascii="Garamond" w:hAnsi="Garamond"/>
        </w:rPr>
        <w:endnoteReference w:id="12"/>
      </w:r>
    </w:p>
    <w:p w:rsidR="00E27B3D" w:rsidRPr="003137F9" w:rsidRDefault="00E27B3D" w:rsidP="00E579DA">
      <w:pPr>
        <w:rPr>
          <w:rFonts w:ascii="Garamond" w:hAnsi="Garamond"/>
        </w:rPr>
      </w:pPr>
      <w:r w:rsidRPr="003137F9">
        <w:rPr>
          <w:rFonts w:ascii="Garamond" w:hAnsi="Garamond"/>
        </w:rPr>
        <w:t>Since 199</w:t>
      </w:r>
      <w:r w:rsidRPr="003137F9">
        <w:rPr>
          <w:rFonts w:ascii="Garamond" w:hAnsi="Garamond"/>
          <w:shd w:val="clear" w:color="auto" w:fill="FFFFFF"/>
        </w:rPr>
        <w:t>0, maternal deaths worldwide have fallen by 45 percent</w:t>
      </w:r>
      <w:r w:rsidR="00EA558A" w:rsidRPr="003137F9">
        <w:rPr>
          <w:rFonts w:ascii="Garamond" w:hAnsi="Garamond"/>
          <w:shd w:val="clear" w:color="auto" w:fill="FFFFFF"/>
        </w:rPr>
        <w:t>. Still, every day about</w:t>
      </w:r>
      <w:r w:rsidRPr="003137F9">
        <w:rPr>
          <w:rFonts w:ascii="Garamond" w:hAnsi="Garamond"/>
        </w:rPr>
        <w:t xml:space="preserve"> 800 women die from preventable causes related to pregnancy and childbirth.</w:t>
      </w:r>
      <w:r w:rsidRPr="003137F9">
        <w:rPr>
          <w:rStyle w:val="EndnoteReference"/>
          <w:rFonts w:ascii="Garamond" w:hAnsi="Garamond" w:cs="Helvetica"/>
        </w:rPr>
        <w:endnoteReference w:id="13"/>
      </w:r>
    </w:p>
    <w:p w:rsidR="001F45BC" w:rsidRPr="003137F9" w:rsidRDefault="001F45BC" w:rsidP="001F45BC">
      <w:pPr>
        <w:rPr>
          <w:rFonts w:ascii="Garamond" w:hAnsi="Garamond"/>
        </w:rPr>
      </w:pPr>
      <w:r w:rsidRPr="003137F9">
        <w:rPr>
          <w:rFonts w:ascii="Garamond" w:hAnsi="Garamond"/>
        </w:rPr>
        <w:t xml:space="preserve">Girls younger than 15 are five times more likely </w:t>
      </w:r>
      <w:r w:rsidR="007810CF" w:rsidRPr="003137F9">
        <w:rPr>
          <w:rFonts w:ascii="Garamond" w:hAnsi="Garamond"/>
        </w:rPr>
        <w:t xml:space="preserve">than women in their 20s </w:t>
      </w:r>
      <w:r w:rsidRPr="003137F9">
        <w:rPr>
          <w:rFonts w:ascii="Garamond" w:hAnsi="Garamond"/>
        </w:rPr>
        <w:t xml:space="preserve">to die during </w:t>
      </w:r>
      <w:r w:rsidR="00EA558A" w:rsidRPr="003137F9">
        <w:rPr>
          <w:rFonts w:ascii="Garamond" w:hAnsi="Garamond"/>
        </w:rPr>
        <w:t>pregnancy or child</w:t>
      </w:r>
      <w:r w:rsidRPr="003137F9">
        <w:rPr>
          <w:rFonts w:ascii="Garamond" w:hAnsi="Garamond"/>
        </w:rPr>
        <w:t>birth.</w:t>
      </w:r>
      <w:r w:rsidRPr="003137F9">
        <w:rPr>
          <w:rStyle w:val="EndnoteReference"/>
          <w:rFonts w:ascii="Garamond" w:hAnsi="Garamond"/>
        </w:rPr>
        <w:endnoteReference w:id="14"/>
      </w:r>
    </w:p>
    <w:p w:rsidR="00E27B3D" w:rsidRPr="003137F9" w:rsidRDefault="00E27B3D" w:rsidP="00E27B3D">
      <w:pPr>
        <w:rPr>
          <w:rFonts w:ascii="Garamond" w:hAnsi="Garamond"/>
        </w:rPr>
      </w:pPr>
      <w:r w:rsidRPr="003137F9">
        <w:rPr>
          <w:rFonts w:ascii="Garamond" w:hAnsi="Garamond"/>
        </w:rPr>
        <w:t xml:space="preserve">In some countries, women and girls spend up to </w:t>
      </w:r>
      <w:r w:rsidR="00EA558A" w:rsidRPr="003137F9">
        <w:rPr>
          <w:rFonts w:ascii="Garamond" w:hAnsi="Garamond"/>
        </w:rPr>
        <w:t xml:space="preserve">six </w:t>
      </w:r>
      <w:r w:rsidRPr="003137F9">
        <w:rPr>
          <w:rFonts w:ascii="Garamond" w:hAnsi="Garamond"/>
        </w:rPr>
        <w:t>hours of every day just fetching water.</w:t>
      </w:r>
      <w:r w:rsidRPr="003137F9">
        <w:rPr>
          <w:rStyle w:val="EndnoteReference"/>
          <w:rFonts w:ascii="Garamond" w:hAnsi="Garamond"/>
        </w:rPr>
        <w:endnoteReference w:id="15"/>
      </w:r>
      <w:r w:rsidRPr="003137F9">
        <w:rPr>
          <w:rFonts w:ascii="Garamond" w:hAnsi="Garamond"/>
        </w:rPr>
        <w:t xml:space="preserve"> Globally, </w:t>
      </w:r>
      <w:r w:rsidR="00480BD8" w:rsidRPr="003137F9">
        <w:rPr>
          <w:rFonts w:ascii="Garamond" w:hAnsi="Garamond"/>
        </w:rPr>
        <w:t xml:space="preserve">every day </w:t>
      </w:r>
      <w:r w:rsidRPr="003137F9">
        <w:rPr>
          <w:rFonts w:ascii="Garamond" w:hAnsi="Garamond"/>
        </w:rPr>
        <w:t xml:space="preserve">women devote </w:t>
      </w:r>
      <w:r w:rsidR="00EA558A" w:rsidRPr="003137F9">
        <w:rPr>
          <w:rFonts w:ascii="Garamond" w:hAnsi="Garamond"/>
        </w:rPr>
        <w:t>one to three additional hours to housework</w:t>
      </w:r>
      <w:r w:rsidRPr="003137F9">
        <w:rPr>
          <w:rFonts w:ascii="Garamond" w:hAnsi="Garamond"/>
        </w:rPr>
        <w:t xml:space="preserve"> than men; </w:t>
      </w:r>
      <w:r w:rsidR="00480BD8" w:rsidRPr="003137F9">
        <w:rPr>
          <w:rFonts w:ascii="Garamond" w:hAnsi="Garamond"/>
        </w:rPr>
        <w:t>two to</w:t>
      </w:r>
      <w:r w:rsidRPr="003137F9">
        <w:rPr>
          <w:rFonts w:ascii="Garamond" w:hAnsi="Garamond"/>
        </w:rPr>
        <w:t xml:space="preserve"> 10 times </w:t>
      </w:r>
      <w:r w:rsidR="00480BD8" w:rsidRPr="003137F9">
        <w:rPr>
          <w:rFonts w:ascii="Garamond" w:hAnsi="Garamond"/>
        </w:rPr>
        <w:t xml:space="preserve">the amount of time </w:t>
      </w:r>
      <w:r w:rsidR="00480BD8" w:rsidRPr="003137F9">
        <w:rPr>
          <w:rFonts w:ascii="Garamond" w:hAnsi="Garamond"/>
        </w:rPr>
        <w:lastRenderedPageBreak/>
        <w:t xml:space="preserve">in caring for </w:t>
      </w:r>
      <w:r w:rsidRPr="003137F9">
        <w:rPr>
          <w:rFonts w:ascii="Garamond" w:hAnsi="Garamond"/>
        </w:rPr>
        <w:t>children, elder</w:t>
      </w:r>
      <w:r w:rsidR="00480BD8" w:rsidRPr="003137F9">
        <w:rPr>
          <w:rFonts w:ascii="Garamond" w:hAnsi="Garamond"/>
        </w:rPr>
        <w:t>s</w:t>
      </w:r>
      <w:r w:rsidRPr="003137F9">
        <w:rPr>
          <w:rFonts w:ascii="Garamond" w:hAnsi="Garamond"/>
        </w:rPr>
        <w:t xml:space="preserve">, and </w:t>
      </w:r>
      <w:r w:rsidR="00480BD8" w:rsidRPr="003137F9">
        <w:rPr>
          <w:rFonts w:ascii="Garamond" w:hAnsi="Garamond"/>
        </w:rPr>
        <w:t>people who are sick</w:t>
      </w:r>
      <w:r w:rsidRPr="003137F9">
        <w:rPr>
          <w:rFonts w:ascii="Garamond" w:hAnsi="Garamond"/>
        </w:rPr>
        <w:t xml:space="preserve">; and </w:t>
      </w:r>
      <w:r w:rsidR="00480BD8" w:rsidRPr="003137F9">
        <w:rPr>
          <w:rFonts w:ascii="Garamond" w:hAnsi="Garamond"/>
        </w:rPr>
        <w:t xml:space="preserve">one to four </w:t>
      </w:r>
      <w:r w:rsidRPr="003137F9">
        <w:rPr>
          <w:rFonts w:ascii="Garamond" w:hAnsi="Garamond"/>
        </w:rPr>
        <w:t xml:space="preserve">hours </w:t>
      </w:r>
      <w:r w:rsidR="00480BD8" w:rsidRPr="003137F9">
        <w:rPr>
          <w:rFonts w:ascii="Garamond" w:hAnsi="Garamond"/>
        </w:rPr>
        <w:t>fewer to</w:t>
      </w:r>
      <w:r w:rsidRPr="003137F9">
        <w:rPr>
          <w:rFonts w:ascii="Garamond" w:hAnsi="Garamond"/>
        </w:rPr>
        <w:t xml:space="preserve"> income-earning activities.</w:t>
      </w:r>
      <w:r w:rsidRPr="003137F9">
        <w:rPr>
          <w:rStyle w:val="EndnoteReference"/>
          <w:rFonts w:ascii="Garamond" w:hAnsi="Garamond"/>
        </w:rPr>
        <w:endnoteReference w:id="16"/>
      </w:r>
    </w:p>
    <w:p w:rsidR="00E27B3D" w:rsidRPr="003137F9" w:rsidRDefault="00E579DA" w:rsidP="008620D0">
      <w:pPr>
        <w:rPr>
          <w:rFonts w:ascii="Garamond" w:hAnsi="Garamond"/>
        </w:rPr>
      </w:pPr>
      <w:r w:rsidRPr="003137F9">
        <w:rPr>
          <w:rFonts w:ascii="Garamond" w:hAnsi="Garamond"/>
        </w:rPr>
        <w:t>Globally, women hold an average of 22 percent of seats in national parliaments.</w:t>
      </w:r>
      <w:r w:rsidR="003C2E3E" w:rsidRPr="003137F9">
        <w:rPr>
          <w:rStyle w:val="EndnoteReference"/>
          <w:rFonts w:ascii="Garamond" w:hAnsi="Garamond"/>
        </w:rPr>
        <w:endnoteReference w:id="17"/>
      </w:r>
      <w:r w:rsidRPr="003137F9">
        <w:rPr>
          <w:rFonts w:ascii="Garamond" w:hAnsi="Garamond"/>
        </w:rPr>
        <w:t xml:space="preserve"> </w:t>
      </w:r>
    </w:p>
    <w:p w:rsidR="001F45BC" w:rsidRPr="003137F9" w:rsidRDefault="001F45BC" w:rsidP="008620D0">
      <w:pPr>
        <w:rPr>
          <w:rFonts w:ascii="Garamond" w:hAnsi="Garamond"/>
        </w:rPr>
      </w:pPr>
      <w:r w:rsidRPr="003137F9">
        <w:rPr>
          <w:rFonts w:ascii="Garamond" w:hAnsi="Garamond"/>
        </w:rPr>
        <w:t>Between 1990 and 2010, only 16 percent of peace agreements contained at least one reference to women or gender.</w:t>
      </w:r>
      <w:r w:rsidRPr="003137F9">
        <w:rPr>
          <w:rStyle w:val="EndnoteReference"/>
          <w:rFonts w:ascii="Garamond" w:hAnsi="Garamond"/>
        </w:rPr>
        <w:endnoteReference w:id="18"/>
      </w:r>
      <w:r w:rsidRPr="003137F9">
        <w:rPr>
          <w:rFonts w:ascii="Garamond" w:hAnsi="Garamond"/>
        </w:rPr>
        <w:t xml:space="preserve"> </w:t>
      </w:r>
    </w:p>
    <w:p w:rsidR="008620D0" w:rsidRPr="003137F9" w:rsidRDefault="004A38C5" w:rsidP="00BE5F35">
      <w:pPr>
        <w:rPr>
          <w:rFonts w:ascii="Verdana" w:hAnsi="Verdana"/>
          <w:b/>
        </w:rPr>
      </w:pPr>
      <w:r w:rsidRPr="003137F9">
        <w:rPr>
          <w:rFonts w:ascii="Verdana" w:hAnsi="Verdana"/>
          <w:b/>
        </w:rPr>
        <w:t>Gender-based violence</w:t>
      </w:r>
      <w:r w:rsidR="00480BD8" w:rsidRPr="003137F9">
        <w:rPr>
          <w:rFonts w:ascii="Verdana" w:hAnsi="Verdana"/>
          <w:b/>
        </w:rPr>
        <w:t xml:space="preserve">: </w:t>
      </w:r>
      <w:r w:rsidR="00C748CA" w:rsidRPr="003137F9">
        <w:rPr>
          <w:rFonts w:ascii="Verdana" w:hAnsi="Verdana"/>
          <w:b/>
        </w:rPr>
        <w:t>a threat to women everywhere</w:t>
      </w:r>
      <w:r w:rsidRPr="003137F9">
        <w:rPr>
          <w:rFonts w:ascii="Verdana" w:hAnsi="Verdana"/>
          <w:b/>
        </w:rPr>
        <w:t xml:space="preserve"> </w:t>
      </w:r>
    </w:p>
    <w:p w:rsidR="004A38C5" w:rsidRPr="003137F9" w:rsidRDefault="004A38C5" w:rsidP="004A38C5">
      <w:pPr>
        <w:rPr>
          <w:rFonts w:ascii="Garamond" w:hAnsi="Garamond"/>
        </w:rPr>
      </w:pPr>
      <w:r w:rsidRPr="003137F9">
        <w:rPr>
          <w:rFonts w:ascii="Garamond" w:hAnsi="Garamond"/>
        </w:rPr>
        <w:t xml:space="preserve">Globally, women aged 15-44 are more at risk </w:t>
      </w:r>
      <w:r w:rsidR="00480BD8" w:rsidRPr="003137F9">
        <w:rPr>
          <w:rFonts w:ascii="Garamond" w:hAnsi="Garamond"/>
        </w:rPr>
        <w:t xml:space="preserve">of </w:t>
      </w:r>
      <w:r w:rsidRPr="003137F9">
        <w:rPr>
          <w:rFonts w:ascii="Garamond" w:hAnsi="Garamond"/>
        </w:rPr>
        <w:t>rape and domestic violence than cancer, motor accidents, war, or malaria.</w:t>
      </w:r>
      <w:r w:rsidRPr="003137F9">
        <w:rPr>
          <w:rStyle w:val="EndnoteReference"/>
          <w:rFonts w:ascii="Garamond" w:hAnsi="Garamond"/>
        </w:rPr>
        <w:endnoteReference w:id="19"/>
      </w:r>
      <w:r w:rsidRPr="003137F9">
        <w:rPr>
          <w:rFonts w:ascii="Garamond" w:hAnsi="Garamond"/>
        </w:rPr>
        <w:t xml:space="preserve"> </w:t>
      </w:r>
    </w:p>
    <w:p w:rsidR="004A38C5" w:rsidRPr="003137F9" w:rsidRDefault="004A38C5" w:rsidP="004A38C5">
      <w:pPr>
        <w:rPr>
          <w:rFonts w:ascii="Garamond" w:hAnsi="Garamond"/>
        </w:rPr>
      </w:pPr>
      <w:r w:rsidRPr="003137F9">
        <w:rPr>
          <w:rFonts w:ascii="Garamond" w:hAnsi="Garamond"/>
        </w:rPr>
        <w:t>One in three women around the world has experienced violence at the hands of an intimate partner.</w:t>
      </w:r>
      <w:r w:rsidRPr="003137F9">
        <w:rPr>
          <w:rStyle w:val="EndnoteReference"/>
          <w:rFonts w:ascii="Garamond" w:hAnsi="Garamond"/>
        </w:rPr>
        <w:endnoteReference w:id="20"/>
      </w:r>
    </w:p>
    <w:p w:rsidR="004A38C5" w:rsidRPr="003137F9" w:rsidRDefault="00480BD8" w:rsidP="004A38C5">
      <w:pPr>
        <w:rPr>
          <w:rFonts w:ascii="Garamond" w:hAnsi="Garamond"/>
        </w:rPr>
      </w:pPr>
      <w:r w:rsidRPr="003137F9">
        <w:rPr>
          <w:rFonts w:ascii="Garamond" w:hAnsi="Garamond"/>
        </w:rPr>
        <w:t>According to t</w:t>
      </w:r>
      <w:r w:rsidR="004A38C5" w:rsidRPr="003137F9">
        <w:rPr>
          <w:rFonts w:ascii="Garamond" w:hAnsi="Garamond"/>
        </w:rPr>
        <w:t>he Centers for Disease Control and Prevention</w:t>
      </w:r>
      <w:r w:rsidRPr="003137F9">
        <w:rPr>
          <w:rFonts w:ascii="Garamond" w:hAnsi="Garamond"/>
        </w:rPr>
        <w:t>, one in four</w:t>
      </w:r>
      <w:r w:rsidR="004A38C5" w:rsidRPr="003137F9">
        <w:rPr>
          <w:rFonts w:ascii="Garamond" w:hAnsi="Garamond"/>
        </w:rPr>
        <w:t xml:space="preserve"> U.S. women have </w:t>
      </w:r>
      <w:r w:rsidRPr="003137F9">
        <w:rPr>
          <w:rFonts w:ascii="Garamond" w:hAnsi="Garamond"/>
        </w:rPr>
        <w:t>suffered</w:t>
      </w:r>
      <w:r w:rsidR="004A38C5" w:rsidRPr="003137F9">
        <w:rPr>
          <w:rFonts w:ascii="Garamond" w:hAnsi="Garamond"/>
        </w:rPr>
        <w:t xml:space="preserve"> severe physical violence by an intimate partner.</w:t>
      </w:r>
      <w:r w:rsidR="004A38C5" w:rsidRPr="003137F9">
        <w:rPr>
          <w:rStyle w:val="EndnoteReference"/>
          <w:rFonts w:ascii="Garamond" w:hAnsi="Garamond"/>
        </w:rPr>
        <w:endnoteReference w:id="21"/>
      </w:r>
    </w:p>
    <w:p w:rsidR="004A38C5" w:rsidRPr="003137F9" w:rsidRDefault="00C748CA" w:rsidP="008620D0">
      <w:pPr>
        <w:rPr>
          <w:rFonts w:ascii="Garamond" w:hAnsi="Garamond" w:cs="Minion-Regular"/>
        </w:rPr>
      </w:pPr>
      <w:r w:rsidRPr="003137F9">
        <w:rPr>
          <w:rFonts w:ascii="Garamond" w:hAnsi="Garamond" w:cs="Calibri"/>
        </w:rPr>
        <w:t>Research shows that m</w:t>
      </w:r>
      <w:r w:rsidR="00480BD8" w:rsidRPr="003137F9">
        <w:rPr>
          <w:rFonts w:ascii="Garamond" w:hAnsi="Garamond" w:cs="Calibri"/>
        </w:rPr>
        <w:t>en from homes where the</w:t>
      </w:r>
      <w:r w:rsidRPr="003137F9">
        <w:rPr>
          <w:rFonts w:ascii="Garamond" w:hAnsi="Garamond" w:cs="Calibri"/>
        </w:rPr>
        <w:t xml:space="preserve"> father used violence are more than twice as likely to use violence against their own partners as men who did not experience such violence growing up.</w:t>
      </w:r>
      <w:r w:rsidRPr="003137F9">
        <w:rPr>
          <w:rStyle w:val="EndnoteReference"/>
          <w:rFonts w:ascii="Garamond" w:hAnsi="Garamond" w:cs="Calibri"/>
        </w:rPr>
        <w:endnoteReference w:id="22"/>
      </w:r>
    </w:p>
    <w:p w:rsidR="00C748CA" w:rsidRPr="003137F9" w:rsidRDefault="00C748CA" w:rsidP="00C748CA">
      <w:pPr>
        <w:rPr>
          <w:rFonts w:ascii="Verdana" w:hAnsi="Verdana"/>
          <w:b/>
        </w:rPr>
      </w:pPr>
      <w:r w:rsidRPr="003137F9">
        <w:rPr>
          <w:rFonts w:ascii="Verdana" w:hAnsi="Verdana"/>
          <w:b/>
        </w:rPr>
        <w:t xml:space="preserve">The </w:t>
      </w:r>
      <w:r w:rsidR="00F11253" w:rsidRPr="003137F9">
        <w:rPr>
          <w:rFonts w:ascii="Verdana" w:hAnsi="Verdana"/>
          <w:b/>
        </w:rPr>
        <w:t>f</w:t>
      </w:r>
      <w:r w:rsidRPr="003137F9">
        <w:rPr>
          <w:rFonts w:ascii="Verdana" w:hAnsi="Verdana"/>
          <w:b/>
        </w:rPr>
        <w:t xml:space="preserve">eminization of </w:t>
      </w:r>
      <w:r w:rsidR="00F11253" w:rsidRPr="003137F9">
        <w:rPr>
          <w:rFonts w:ascii="Verdana" w:hAnsi="Verdana"/>
          <w:b/>
        </w:rPr>
        <w:t>hunger and p</w:t>
      </w:r>
      <w:r w:rsidRPr="003137F9">
        <w:rPr>
          <w:rFonts w:ascii="Verdana" w:hAnsi="Verdana"/>
          <w:b/>
        </w:rPr>
        <w:t>overty in the United States</w:t>
      </w:r>
    </w:p>
    <w:p w:rsidR="00C748CA" w:rsidRPr="003137F9" w:rsidRDefault="00C748CA" w:rsidP="00C748CA">
      <w:pPr>
        <w:rPr>
          <w:rFonts w:ascii="Garamond" w:hAnsi="Garamond"/>
          <w:color w:val="333333"/>
        </w:rPr>
      </w:pPr>
      <w:r w:rsidRPr="003137F9">
        <w:rPr>
          <w:rFonts w:ascii="Garamond" w:hAnsi="Garamond"/>
          <w:color w:val="333333"/>
        </w:rPr>
        <w:t>In 2013, 31.5 percent of women earned poverty-level wages, significantly higher than</w:t>
      </w:r>
      <w:r w:rsidR="00F11253" w:rsidRPr="003137F9">
        <w:rPr>
          <w:rFonts w:ascii="Garamond" w:hAnsi="Garamond"/>
          <w:color w:val="333333"/>
        </w:rPr>
        <w:t xml:space="preserve"> the 23.7 percent of men who did</w:t>
      </w:r>
      <w:r w:rsidRPr="003137F9">
        <w:rPr>
          <w:rFonts w:ascii="Garamond" w:hAnsi="Garamond"/>
          <w:color w:val="333333"/>
        </w:rPr>
        <w:t>.</w:t>
      </w:r>
      <w:r w:rsidRPr="003137F9">
        <w:rPr>
          <w:rStyle w:val="EndnoteReference"/>
          <w:rFonts w:ascii="Garamond" w:hAnsi="Garamond"/>
        </w:rPr>
        <w:endnoteReference w:id="23"/>
      </w:r>
    </w:p>
    <w:p w:rsidR="004A38C5" w:rsidRPr="003137F9" w:rsidRDefault="00C748CA" w:rsidP="008620D0">
      <w:pPr>
        <w:rPr>
          <w:rFonts w:ascii="Garamond" w:hAnsi="Garamond" w:cs="Minion-Regular"/>
        </w:rPr>
      </w:pPr>
      <w:r w:rsidRPr="003137F9">
        <w:rPr>
          <w:rFonts w:ascii="Garamond" w:hAnsi="Garamond"/>
        </w:rPr>
        <w:t>The Equal Pay Act was signed into law in 1963. At the time, women</w:t>
      </w:r>
      <w:r w:rsidR="00F11253" w:rsidRPr="003137F9">
        <w:rPr>
          <w:rFonts w:ascii="Garamond" w:hAnsi="Garamond"/>
        </w:rPr>
        <w:t xml:space="preserve"> were paid 59 cents for every dollar</w:t>
      </w:r>
      <w:r w:rsidRPr="003137F9">
        <w:rPr>
          <w:rFonts w:ascii="Garamond" w:hAnsi="Garamond"/>
        </w:rPr>
        <w:t xml:space="preserve"> that men were paid.</w:t>
      </w:r>
      <w:r w:rsidRPr="003137F9">
        <w:rPr>
          <w:rStyle w:val="EndnoteReference"/>
          <w:rFonts w:ascii="Garamond" w:hAnsi="Garamond"/>
        </w:rPr>
        <w:endnoteReference w:id="24"/>
      </w:r>
      <w:r w:rsidRPr="003137F9">
        <w:rPr>
          <w:rFonts w:ascii="Garamond" w:hAnsi="Garamond"/>
        </w:rPr>
        <w:t xml:space="preserve"> The most recent data show that women who work full-time, year-round are paid </w:t>
      </w:r>
      <w:r w:rsidR="00F11253" w:rsidRPr="003137F9">
        <w:rPr>
          <w:rFonts w:ascii="Garamond" w:hAnsi="Garamond"/>
        </w:rPr>
        <w:t>about 78 cents for every dollar that men in</w:t>
      </w:r>
      <w:r w:rsidRPr="003137F9">
        <w:rPr>
          <w:rFonts w:ascii="Garamond" w:hAnsi="Garamond"/>
        </w:rPr>
        <w:t xml:space="preserve"> comparable position</w:t>
      </w:r>
      <w:r w:rsidR="00F11253" w:rsidRPr="003137F9">
        <w:rPr>
          <w:rFonts w:ascii="Garamond" w:hAnsi="Garamond"/>
        </w:rPr>
        <w:t>s</w:t>
      </w:r>
      <w:r w:rsidRPr="003137F9">
        <w:rPr>
          <w:rFonts w:ascii="Garamond" w:hAnsi="Garamond"/>
        </w:rPr>
        <w:t xml:space="preserve"> are paid.</w:t>
      </w:r>
      <w:r w:rsidRPr="003137F9">
        <w:rPr>
          <w:rStyle w:val="EndnoteReference"/>
          <w:rFonts w:ascii="Garamond" w:hAnsi="Garamond"/>
        </w:rPr>
        <w:endnoteReference w:id="25"/>
      </w:r>
    </w:p>
    <w:p w:rsidR="00C748CA" w:rsidRPr="003137F9" w:rsidRDefault="005E32FC" w:rsidP="008620D0">
      <w:pPr>
        <w:rPr>
          <w:rFonts w:ascii="Garamond" w:hAnsi="Garamond" w:cs="Minion-Regular"/>
        </w:rPr>
      </w:pPr>
      <w:r w:rsidRPr="003137F9">
        <w:rPr>
          <w:rFonts w:ascii="Garamond" w:hAnsi="Garamond"/>
        </w:rPr>
        <w:t>Closing the wage gap between men and women would cut the poverty rate among working women and their families by half. The poverty rate for working single mothers would fall from 29 percent to 15 percent.</w:t>
      </w:r>
      <w:r w:rsidRPr="003137F9">
        <w:rPr>
          <w:rStyle w:val="EndnoteReference"/>
          <w:rFonts w:ascii="Garamond" w:hAnsi="Garamond"/>
        </w:rPr>
        <w:endnoteReference w:id="26"/>
      </w:r>
    </w:p>
    <w:p w:rsidR="005E32FC" w:rsidRPr="003137F9" w:rsidRDefault="00F11253" w:rsidP="008620D0">
      <w:pPr>
        <w:rPr>
          <w:rFonts w:ascii="Garamond" w:hAnsi="Garamond" w:cs="Minion-Regular"/>
        </w:rPr>
      </w:pPr>
      <w:r w:rsidRPr="003137F9">
        <w:rPr>
          <w:rFonts w:ascii="Garamond" w:hAnsi="Garamond"/>
        </w:rPr>
        <w:t xml:space="preserve">Pay equity would make far more progress against poverty than Temporary Assistance for Needy Families (TANF). </w:t>
      </w:r>
      <w:r w:rsidR="005E32FC" w:rsidRPr="003137F9">
        <w:rPr>
          <w:rFonts w:ascii="Garamond" w:hAnsi="Garamond"/>
        </w:rPr>
        <w:t>The total increase in w</w:t>
      </w:r>
      <w:r w:rsidR="0048474D" w:rsidRPr="003137F9">
        <w:rPr>
          <w:rFonts w:ascii="Garamond" w:hAnsi="Garamond"/>
        </w:rPr>
        <w:t xml:space="preserve">omen’s earnings with pay equity, in fact, is </w:t>
      </w:r>
      <w:r w:rsidR="005E32FC" w:rsidRPr="003137F9">
        <w:rPr>
          <w:rFonts w:ascii="Garamond" w:hAnsi="Garamond"/>
        </w:rPr>
        <w:t>more than 14 times</w:t>
      </w:r>
      <w:r w:rsidR="0048474D" w:rsidRPr="003137F9">
        <w:rPr>
          <w:rFonts w:ascii="Garamond" w:hAnsi="Garamond"/>
        </w:rPr>
        <w:t xml:space="preserve"> as much as </w:t>
      </w:r>
      <w:r w:rsidR="005E32FC" w:rsidRPr="003137F9">
        <w:rPr>
          <w:rFonts w:ascii="Garamond" w:hAnsi="Garamond"/>
        </w:rPr>
        <w:t xml:space="preserve">the federal and state governments spent </w:t>
      </w:r>
      <w:r w:rsidR="0048474D" w:rsidRPr="003137F9">
        <w:rPr>
          <w:rFonts w:ascii="Garamond" w:hAnsi="Garamond"/>
        </w:rPr>
        <w:t xml:space="preserve">on TANF </w:t>
      </w:r>
      <w:r w:rsidR="005E32FC" w:rsidRPr="003137F9">
        <w:rPr>
          <w:rFonts w:ascii="Garamond" w:hAnsi="Garamond"/>
        </w:rPr>
        <w:t>in fiscal year 2012.</w:t>
      </w:r>
      <w:r w:rsidR="005E32FC" w:rsidRPr="003137F9">
        <w:rPr>
          <w:rStyle w:val="EndnoteReference"/>
          <w:rFonts w:ascii="Garamond" w:hAnsi="Garamond"/>
        </w:rPr>
        <w:endnoteReference w:id="27"/>
      </w:r>
      <w:r w:rsidR="005E32FC" w:rsidRPr="003137F9">
        <w:rPr>
          <w:rFonts w:ascii="Garamond" w:hAnsi="Garamond"/>
        </w:rPr>
        <w:t xml:space="preserve">  </w:t>
      </w:r>
    </w:p>
    <w:p w:rsidR="005E32FC" w:rsidRPr="003137F9" w:rsidRDefault="005E32FC" w:rsidP="008620D0">
      <w:pPr>
        <w:rPr>
          <w:rFonts w:ascii="Garamond" w:hAnsi="Garamond" w:cs="Minion-Regular"/>
        </w:rPr>
      </w:pPr>
      <w:r w:rsidRPr="003137F9">
        <w:rPr>
          <w:rFonts w:ascii="Garamond" w:hAnsi="Garamond"/>
        </w:rPr>
        <w:t xml:space="preserve">High-income workers are four times as likely as low-income </w:t>
      </w:r>
      <w:r w:rsidR="0048474D" w:rsidRPr="003137F9">
        <w:rPr>
          <w:rFonts w:ascii="Garamond" w:hAnsi="Garamond"/>
        </w:rPr>
        <w:t>workers</w:t>
      </w:r>
      <w:r w:rsidRPr="003137F9">
        <w:rPr>
          <w:rFonts w:ascii="Garamond" w:hAnsi="Garamond"/>
        </w:rPr>
        <w:t xml:space="preserve"> to have paid sick leave.</w:t>
      </w:r>
      <w:r w:rsidRPr="003137F9">
        <w:rPr>
          <w:rStyle w:val="EndnoteReference"/>
          <w:rFonts w:ascii="Garamond" w:hAnsi="Garamond"/>
        </w:rPr>
        <w:endnoteReference w:id="28"/>
      </w:r>
      <w:r w:rsidRPr="003137F9">
        <w:rPr>
          <w:rFonts w:ascii="Garamond" w:hAnsi="Garamond"/>
        </w:rPr>
        <w:t xml:space="preserve"> In a poll commissioned for </w:t>
      </w:r>
      <w:r w:rsidRPr="003137F9">
        <w:rPr>
          <w:rFonts w:ascii="Garamond" w:hAnsi="Garamond"/>
          <w:i/>
        </w:rPr>
        <w:t>The Shriver Report</w:t>
      </w:r>
      <w:r w:rsidRPr="003137F9">
        <w:rPr>
          <w:rFonts w:ascii="Garamond" w:hAnsi="Garamond"/>
        </w:rPr>
        <w:t>, 96 percent of working single mothers who were asked what workplace policy would help them most named paid leave to care for themselves or a family member.</w:t>
      </w:r>
      <w:r w:rsidRPr="003137F9">
        <w:rPr>
          <w:rStyle w:val="EndnoteReference"/>
          <w:rFonts w:ascii="Garamond" w:hAnsi="Garamond"/>
        </w:rPr>
        <w:endnoteReference w:id="29"/>
      </w:r>
    </w:p>
    <w:p w:rsidR="005E32FC" w:rsidRPr="003137F9" w:rsidRDefault="005E32FC" w:rsidP="008620D0">
      <w:pPr>
        <w:rPr>
          <w:rFonts w:ascii="Garamond" w:hAnsi="Garamond"/>
        </w:rPr>
      </w:pPr>
      <w:r w:rsidRPr="003137F9">
        <w:rPr>
          <w:rFonts w:ascii="Garamond" w:hAnsi="Garamond"/>
        </w:rPr>
        <w:t>At the start of 2014, women held a total of 18.5 percent of seats in Congress—18.2 percent in the House of Representatives, 20 percent in the Senate. And this is the highest percentage in history.</w:t>
      </w:r>
      <w:r w:rsidRPr="003137F9">
        <w:rPr>
          <w:rStyle w:val="EndnoteReference"/>
          <w:rFonts w:ascii="Garamond" w:hAnsi="Garamond"/>
        </w:rPr>
        <w:endnoteReference w:id="30"/>
      </w:r>
      <w:r w:rsidRPr="003137F9">
        <w:rPr>
          <w:rFonts w:ascii="Garamond" w:hAnsi="Garamond"/>
        </w:rPr>
        <w:t xml:space="preserve">  </w:t>
      </w:r>
    </w:p>
    <w:bookmarkEnd w:id="0"/>
    <w:p w:rsidR="005E32FC" w:rsidRDefault="005E32FC" w:rsidP="008620D0">
      <w:pPr>
        <w:rPr>
          <w:rFonts w:cs="Minion-Regular"/>
        </w:rPr>
      </w:pPr>
    </w:p>
    <w:sectPr w:rsidR="005E32F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D6" w:rsidRDefault="00235DD6" w:rsidP="00850E92">
      <w:pPr>
        <w:spacing w:after="0" w:line="240" w:lineRule="auto"/>
      </w:pPr>
      <w:r>
        <w:separator/>
      </w:r>
    </w:p>
  </w:endnote>
  <w:endnote w:type="continuationSeparator" w:id="0">
    <w:p w:rsidR="00235DD6" w:rsidRDefault="00235DD6" w:rsidP="00850E92">
      <w:pPr>
        <w:spacing w:after="0" w:line="240" w:lineRule="auto"/>
      </w:pPr>
      <w:r>
        <w:continuationSeparator/>
      </w:r>
    </w:p>
  </w:endnote>
  <w:endnote w:id="1">
    <w:p w:rsidR="00A24001" w:rsidRPr="003137F9" w:rsidRDefault="00A24001"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United Nations (2014), </w:t>
      </w:r>
      <w:r w:rsidRPr="003137F9">
        <w:rPr>
          <w:rFonts w:ascii="Garamond" w:hAnsi="Garamond"/>
          <w:i/>
        </w:rPr>
        <w:t>Millennium Development Goals Report</w:t>
      </w:r>
      <w:r w:rsidRPr="003137F9">
        <w:rPr>
          <w:rFonts w:ascii="Garamond" w:hAnsi="Garamond"/>
        </w:rPr>
        <w:t>.</w:t>
      </w:r>
    </w:p>
  </w:endnote>
  <w:endnote w:id="2">
    <w:p w:rsidR="00A24001" w:rsidRPr="003137F9" w:rsidRDefault="00A24001"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United Nations (2014), </w:t>
      </w:r>
      <w:r w:rsidRPr="003137F9">
        <w:rPr>
          <w:rFonts w:ascii="Garamond" w:hAnsi="Garamond"/>
          <w:i/>
        </w:rPr>
        <w:t>Millennium Development Goals Report</w:t>
      </w:r>
      <w:r w:rsidRPr="003137F9">
        <w:rPr>
          <w:rFonts w:ascii="Garamond" w:hAnsi="Garamond"/>
        </w:rPr>
        <w:t>.</w:t>
      </w:r>
    </w:p>
  </w:endnote>
  <w:endnote w:id="3">
    <w:p w:rsidR="00F64CC9" w:rsidRPr="003137F9" w:rsidRDefault="00F64CC9"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United Nations (2014), </w:t>
      </w:r>
      <w:r w:rsidRPr="003137F9">
        <w:rPr>
          <w:rFonts w:ascii="Garamond" w:hAnsi="Garamond"/>
          <w:i/>
        </w:rPr>
        <w:t>Millennium Development Goals Report</w:t>
      </w:r>
      <w:r w:rsidRPr="003137F9">
        <w:rPr>
          <w:rFonts w:ascii="Garamond" w:hAnsi="Garamond"/>
        </w:rPr>
        <w:t>.</w:t>
      </w:r>
    </w:p>
  </w:endnote>
  <w:endnote w:id="4">
    <w:p w:rsidR="00C824AF" w:rsidRPr="003137F9" w:rsidRDefault="00C824AF"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Food and Agriculture Organization of the United Nations (2014), </w:t>
      </w:r>
      <w:proofErr w:type="gramStart"/>
      <w:r w:rsidRPr="003137F9">
        <w:rPr>
          <w:rFonts w:ascii="Garamond" w:hAnsi="Garamond"/>
          <w:i/>
        </w:rPr>
        <w:t>The</w:t>
      </w:r>
      <w:proofErr w:type="gramEnd"/>
      <w:r w:rsidRPr="003137F9">
        <w:rPr>
          <w:rFonts w:ascii="Garamond" w:hAnsi="Garamond"/>
          <w:i/>
        </w:rPr>
        <w:t xml:space="preserve"> State of Food Insecurity in the World</w:t>
      </w:r>
      <w:r w:rsidRPr="003137F9">
        <w:rPr>
          <w:rFonts w:ascii="Garamond" w:hAnsi="Garamond"/>
        </w:rPr>
        <w:t xml:space="preserve">. </w:t>
      </w:r>
    </w:p>
  </w:endnote>
  <w:endnote w:id="5">
    <w:p w:rsidR="00C824AF" w:rsidRPr="003137F9" w:rsidRDefault="00C824AF"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Food and Agriculture Organization of the United Nations (2014), </w:t>
      </w:r>
      <w:proofErr w:type="gramStart"/>
      <w:r w:rsidRPr="003137F9">
        <w:rPr>
          <w:rFonts w:ascii="Garamond" w:hAnsi="Garamond"/>
          <w:i/>
        </w:rPr>
        <w:t>The</w:t>
      </w:r>
      <w:proofErr w:type="gramEnd"/>
      <w:r w:rsidRPr="003137F9">
        <w:rPr>
          <w:rFonts w:ascii="Garamond" w:hAnsi="Garamond"/>
          <w:i/>
        </w:rPr>
        <w:t xml:space="preserve"> State of Food Insecurity in the World</w:t>
      </w:r>
      <w:r w:rsidRPr="003137F9">
        <w:rPr>
          <w:rFonts w:ascii="Garamond" w:hAnsi="Garamond"/>
        </w:rPr>
        <w:t xml:space="preserve">. </w:t>
      </w:r>
    </w:p>
  </w:endnote>
  <w:endnote w:id="6">
    <w:p w:rsidR="00E27B3D" w:rsidRPr="003137F9" w:rsidRDefault="00E27B3D" w:rsidP="00E27B3D">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Food and Agriculture Organization of the United Nations (2014), </w:t>
      </w:r>
      <w:proofErr w:type="gramStart"/>
      <w:r w:rsidRPr="003137F9">
        <w:rPr>
          <w:rFonts w:ascii="Garamond" w:hAnsi="Garamond"/>
          <w:i/>
        </w:rPr>
        <w:t>The</w:t>
      </w:r>
      <w:proofErr w:type="gramEnd"/>
      <w:r w:rsidRPr="003137F9">
        <w:rPr>
          <w:rFonts w:ascii="Garamond" w:hAnsi="Garamond"/>
          <w:i/>
        </w:rPr>
        <w:t xml:space="preserve"> State of Food Insecurity in the World</w:t>
      </w:r>
      <w:r w:rsidRPr="003137F9">
        <w:rPr>
          <w:rFonts w:ascii="Garamond" w:hAnsi="Garamond"/>
        </w:rPr>
        <w:t xml:space="preserve">. </w:t>
      </w:r>
    </w:p>
  </w:endnote>
  <w:endnote w:id="7">
    <w:p w:rsidR="00BE5F35" w:rsidRPr="003137F9" w:rsidRDefault="00BE5F35" w:rsidP="005E32FC">
      <w:pPr>
        <w:autoSpaceDE w:val="0"/>
        <w:autoSpaceDN w:val="0"/>
        <w:adjustRightInd w:val="0"/>
        <w:spacing w:after="0" w:line="240" w:lineRule="auto"/>
        <w:rPr>
          <w:rFonts w:ascii="Garamond" w:hAnsi="Garamond" w:cs="ArialMTStd-LightCond"/>
          <w:sz w:val="20"/>
          <w:szCs w:val="24"/>
        </w:rPr>
      </w:pPr>
      <w:r w:rsidRPr="003137F9">
        <w:rPr>
          <w:rStyle w:val="EndnoteReference"/>
          <w:rFonts w:ascii="Garamond" w:hAnsi="Garamond"/>
          <w:sz w:val="20"/>
          <w:szCs w:val="24"/>
        </w:rPr>
        <w:endnoteRef/>
      </w:r>
      <w:r w:rsidRPr="003137F9">
        <w:rPr>
          <w:rFonts w:ascii="Garamond" w:hAnsi="Garamond"/>
          <w:sz w:val="20"/>
          <w:szCs w:val="24"/>
        </w:rPr>
        <w:t xml:space="preserve"> </w:t>
      </w:r>
      <w:r w:rsidRPr="003137F9">
        <w:rPr>
          <w:rFonts w:ascii="Garamond" w:hAnsi="Garamond"/>
          <w:sz w:val="20"/>
        </w:rPr>
        <w:t xml:space="preserve">Lisa C. Smith and Lawrence Haddad (2000), </w:t>
      </w:r>
      <w:hyperlink r:id="rId1" w:history="1">
        <w:r w:rsidRPr="003137F9">
          <w:rPr>
            <w:rStyle w:val="Hyperlink"/>
            <w:rFonts w:ascii="Garamond" w:hAnsi="Garamond"/>
            <w:i/>
            <w:sz w:val="20"/>
          </w:rPr>
          <w:t>Explaining Child Malnutrition in Developing Countries: A Cross-Country Analysis</w:t>
        </w:r>
      </w:hyperlink>
      <w:r w:rsidRPr="003137F9">
        <w:rPr>
          <w:rFonts w:ascii="Garamond" w:hAnsi="Garamond"/>
          <w:sz w:val="20"/>
        </w:rPr>
        <w:t>, International Food Policy Research Institute, p. xii.</w:t>
      </w:r>
    </w:p>
  </w:endnote>
  <w:endnote w:id="8">
    <w:p w:rsidR="00BE5F35" w:rsidRPr="003137F9" w:rsidRDefault="00BE5F35"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w:t>
      </w:r>
      <w:r w:rsidRPr="003137F9">
        <w:rPr>
          <w:rFonts w:ascii="Garamond" w:hAnsi="Garamond" w:cs="Times"/>
          <w:color w:val="000000"/>
        </w:rPr>
        <w:t>United Nations Educational, Scientific, and Cultural Organization: UNESCO Institute of Statistics&gt;</w:t>
      </w:r>
      <w:hyperlink r:id="rId2" w:history="1">
        <w:r w:rsidRPr="003137F9">
          <w:rPr>
            <w:rStyle w:val="Hyperlink"/>
            <w:rFonts w:ascii="Garamond" w:hAnsi="Garamond" w:cs="Times"/>
          </w:rPr>
          <w:t>Gender and Education</w:t>
        </w:r>
      </w:hyperlink>
      <w:r w:rsidRPr="003137F9">
        <w:rPr>
          <w:rFonts w:ascii="Garamond" w:hAnsi="Garamond" w:cs="Times"/>
          <w:color w:val="000000"/>
        </w:rPr>
        <w:t>.</w:t>
      </w:r>
    </w:p>
  </w:endnote>
  <w:endnote w:id="9">
    <w:p w:rsidR="008620D0" w:rsidRPr="003137F9" w:rsidRDefault="008620D0"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The World Bank (2012), </w:t>
      </w:r>
      <w:hyperlink r:id="rId3" w:history="1">
        <w:r w:rsidRPr="003137F9">
          <w:rPr>
            <w:rStyle w:val="Hyperlink"/>
            <w:rFonts w:ascii="Garamond" w:hAnsi="Garamond"/>
            <w:i/>
          </w:rPr>
          <w:t>Gender Equality and Development</w:t>
        </w:r>
      </w:hyperlink>
      <w:r w:rsidRPr="003137F9">
        <w:rPr>
          <w:rFonts w:ascii="Garamond" w:hAnsi="Garamond"/>
        </w:rPr>
        <w:t xml:space="preserve">, </w:t>
      </w:r>
      <w:proofErr w:type="gramStart"/>
      <w:r w:rsidRPr="003137F9">
        <w:rPr>
          <w:rFonts w:ascii="Garamond" w:hAnsi="Garamond"/>
        </w:rPr>
        <w:t>The</w:t>
      </w:r>
      <w:proofErr w:type="gramEnd"/>
      <w:r w:rsidRPr="003137F9">
        <w:rPr>
          <w:rFonts w:ascii="Garamond" w:hAnsi="Garamond"/>
        </w:rPr>
        <w:t xml:space="preserve"> World Development Report, p. 74.</w:t>
      </w:r>
    </w:p>
  </w:endnote>
  <w:endnote w:id="10">
    <w:p w:rsidR="008620D0" w:rsidRPr="003137F9" w:rsidRDefault="008620D0"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Jim Yong Kim (March 5, 2014, “</w:t>
      </w:r>
      <w:hyperlink r:id="rId4" w:history="1">
        <w:r w:rsidRPr="003137F9">
          <w:rPr>
            <w:rStyle w:val="Hyperlink"/>
            <w:rFonts w:ascii="Garamond" w:hAnsi="Garamond"/>
          </w:rPr>
          <w:t>Remarks by World Bank President Jim Yong Kim at CARE Conference on Gender Equality</w:t>
        </w:r>
      </w:hyperlink>
      <w:r w:rsidRPr="003137F9">
        <w:rPr>
          <w:rFonts w:ascii="Garamond" w:hAnsi="Garamond"/>
        </w:rPr>
        <w:t>,” The World Bank.</w:t>
      </w:r>
    </w:p>
  </w:endnote>
  <w:endnote w:id="11">
    <w:p w:rsidR="008620D0" w:rsidRPr="003137F9" w:rsidRDefault="008620D0"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Girls Not Brides: The Global Partnership to End Child Marriage: </w:t>
      </w:r>
      <w:hyperlink r:id="rId5" w:history="1">
        <w:r w:rsidRPr="003137F9">
          <w:rPr>
            <w:rStyle w:val="Hyperlink"/>
            <w:rFonts w:ascii="Garamond" w:hAnsi="Garamond"/>
          </w:rPr>
          <w:t xml:space="preserve">Child Marriage </w:t>
        </w:r>
        <w:proofErr w:type="gramStart"/>
        <w:r w:rsidRPr="003137F9">
          <w:rPr>
            <w:rStyle w:val="Hyperlink"/>
            <w:rFonts w:ascii="Garamond" w:hAnsi="Garamond"/>
          </w:rPr>
          <w:t>Around</w:t>
        </w:r>
        <w:proofErr w:type="gramEnd"/>
        <w:r w:rsidRPr="003137F9">
          <w:rPr>
            <w:rStyle w:val="Hyperlink"/>
            <w:rFonts w:ascii="Garamond" w:hAnsi="Garamond"/>
          </w:rPr>
          <w:t xml:space="preserve"> the World</w:t>
        </w:r>
      </w:hyperlink>
      <w:r w:rsidRPr="003137F9">
        <w:rPr>
          <w:rFonts w:ascii="Garamond" w:hAnsi="Garamond"/>
        </w:rPr>
        <w:t>. Accessed March 05, 2014.</w:t>
      </w:r>
    </w:p>
  </w:endnote>
  <w:endnote w:id="12">
    <w:p w:rsidR="008620D0" w:rsidRPr="003137F9" w:rsidRDefault="008620D0" w:rsidP="005E32FC">
      <w:pPr>
        <w:spacing w:after="0" w:line="240" w:lineRule="auto"/>
        <w:rPr>
          <w:rFonts w:ascii="Garamond" w:hAnsi="Garamond"/>
          <w:sz w:val="20"/>
          <w:szCs w:val="20"/>
        </w:rPr>
      </w:pPr>
      <w:r w:rsidRPr="003137F9">
        <w:rPr>
          <w:rStyle w:val="EndnoteReference"/>
          <w:rFonts w:ascii="Garamond" w:hAnsi="Garamond"/>
        </w:rPr>
        <w:endnoteRef/>
      </w:r>
      <w:r w:rsidRPr="003137F9">
        <w:rPr>
          <w:rFonts w:ascii="Garamond" w:hAnsi="Garamond"/>
          <w:sz w:val="20"/>
          <w:szCs w:val="20"/>
        </w:rPr>
        <w:t xml:space="preserve"> United Nations Population Fund (2012), “</w:t>
      </w:r>
      <w:hyperlink r:id="rId6" w:history="1">
        <w:r w:rsidRPr="003137F9">
          <w:rPr>
            <w:rStyle w:val="Hyperlink"/>
            <w:rFonts w:ascii="Garamond" w:hAnsi="Garamond"/>
            <w:i/>
            <w:sz w:val="20"/>
            <w:szCs w:val="20"/>
          </w:rPr>
          <w:t>Marrying Too Young: End Child Marriage</w:t>
        </w:r>
      </w:hyperlink>
      <w:r w:rsidRPr="003137F9">
        <w:rPr>
          <w:rFonts w:ascii="Garamond" w:hAnsi="Garamond"/>
          <w:sz w:val="20"/>
          <w:szCs w:val="20"/>
        </w:rPr>
        <w:t xml:space="preserve">, p. 45. </w:t>
      </w:r>
    </w:p>
  </w:endnote>
  <w:endnote w:id="13">
    <w:p w:rsidR="00E27B3D" w:rsidRPr="003137F9" w:rsidRDefault="00E27B3D" w:rsidP="00E27B3D">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World Health Organization (May 2014), Fact Sheet No. 348: Maternal Mortality.</w:t>
      </w:r>
    </w:p>
  </w:endnote>
  <w:endnote w:id="14">
    <w:p w:rsidR="001F45BC" w:rsidRPr="003137F9" w:rsidRDefault="001F45BC" w:rsidP="001F45B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Save the Children (June 2012), </w:t>
      </w:r>
      <w:hyperlink r:id="rId7" w:history="1">
        <w:r w:rsidRPr="003137F9">
          <w:rPr>
            <w:rStyle w:val="Hyperlink"/>
            <w:rFonts w:ascii="Garamond" w:hAnsi="Garamond"/>
            <w:i/>
          </w:rPr>
          <w:t>Every Woman’s Right: How family planning saves children’s lives</w:t>
        </w:r>
      </w:hyperlink>
      <w:r w:rsidRPr="003137F9">
        <w:rPr>
          <w:rFonts w:ascii="Garamond" w:hAnsi="Garamond"/>
        </w:rPr>
        <w:t>.</w:t>
      </w:r>
    </w:p>
  </w:endnote>
  <w:endnote w:id="15">
    <w:p w:rsidR="00E27B3D" w:rsidRPr="003137F9" w:rsidRDefault="00E27B3D" w:rsidP="00E27B3D">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UN Water: </w:t>
      </w:r>
      <w:hyperlink r:id="rId8" w:history="1">
        <w:r w:rsidRPr="003137F9">
          <w:rPr>
            <w:rStyle w:val="Hyperlink"/>
            <w:rFonts w:ascii="Garamond" w:hAnsi="Garamond"/>
          </w:rPr>
          <w:t>Water and Gender</w:t>
        </w:r>
      </w:hyperlink>
      <w:r w:rsidRPr="003137F9">
        <w:rPr>
          <w:rFonts w:ascii="Garamond" w:hAnsi="Garamond"/>
        </w:rPr>
        <w:t>.</w:t>
      </w:r>
    </w:p>
  </w:endnote>
  <w:endnote w:id="16">
    <w:p w:rsidR="00E27B3D" w:rsidRPr="003137F9" w:rsidRDefault="00E27B3D" w:rsidP="00E27B3D">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The World Bank (2012), </w:t>
      </w:r>
      <w:hyperlink r:id="rId9" w:history="1">
        <w:r w:rsidRPr="003137F9">
          <w:rPr>
            <w:rStyle w:val="Hyperlink"/>
            <w:rFonts w:ascii="Garamond" w:hAnsi="Garamond"/>
            <w:i/>
          </w:rPr>
          <w:t>Gender Equality and Development</w:t>
        </w:r>
      </w:hyperlink>
      <w:r w:rsidRPr="003137F9">
        <w:rPr>
          <w:rFonts w:ascii="Garamond" w:hAnsi="Garamond"/>
        </w:rPr>
        <w:t>, p. 80.</w:t>
      </w:r>
    </w:p>
  </w:endnote>
  <w:endnote w:id="17">
    <w:p w:rsidR="003C2E3E" w:rsidRPr="003137F9" w:rsidRDefault="003C2E3E">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The World Bank (2014), World Development Indicators: </w:t>
      </w:r>
      <w:hyperlink r:id="rId10" w:history="1">
        <w:r w:rsidRPr="003137F9">
          <w:rPr>
            <w:rStyle w:val="Hyperlink"/>
            <w:rFonts w:ascii="Garamond" w:hAnsi="Garamond"/>
          </w:rPr>
          <w:t>Women in Development</w:t>
        </w:r>
      </w:hyperlink>
      <w:r w:rsidRPr="003137F9">
        <w:rPr>
          <w:rFonts w:ascii="Garamond" w:hAnsi="Garamond"/>
        </w:rPr>
        <w:t>, Table 1.5.</w:t>
      </w:r>
    </w:p>
  </w:endnote>
  <w:endnote w:id="18">
    <w:p w:rsidR="001F45BC" w:rsidRPr="003137F9" w:rsidRDefault="001F45BC" w:rsidP="001F45B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UN Women (October 2012), </w:t>
      </w:r>
      <w:hyperlink r:id="rId11" w:history="1">
        <w:r w:rsidRPr="003137F9">
          <w:rPr>
            <w:rStyle w:val="Hyperlink"/>
            <w:rFonts w:ascii="Garamond" w:hAnsi="Garamond"/>
            <w:i/>
          </w:rPr>
          <w:t>Women’s Participation in Peace Negotiations: Connections between Presence and Influence</w:t>
        </w:r>
      </w:hyperlink>
      <w:r w:rsidRPr="003137F9">
        <w:rPr>
          <w:rFonts w:ascii="Garamond" w:hAnsi="Garamond"/>
        </w:rPr>
        <w:t>, p 16.</w:t>
      </w:r>
    </w:p>
  </w:endnote>
  <w:endnote w:id="19">
    <w:p w:rsidR="004A38C5" w:rsidRPr="003137F9" w:rsidRDefault="004A38C5"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United Nations (February 2008), </w:t>
      </w:r>
      <w:hyperlink r:id="rId12" w:history="1">
        <w:r w:rsidRPr="003137F9">
          <w:rPr>
            <w:rStyle w:val="Hyperlink"/>
            <w:rFonts w:ascii="Garamond" w:hAnsi="Garamond"/>
          </w:rPr>
          <w:t xml:space="preserve">Unite to End Violence </w:t>
        </w:r>
        <w:proofErr w:type="gramStart"/>
        <w:r w:rsidRPr="003137F9">
          <w:rPr>
            <w:rStyle w:val="Hyperlink"/>
            <w:rFonts w:ascii="Garamond" w:hAnsi="Garamond"/>
          </w:rPr>
          <w:t>Against</w:t>
        </w:r>
        <w:proofErr w:type="gramEnd"/>
        <w:r w:rsidRPr="003137F9">
          <w:rPr>
            <w:rStyle w:val="Hyperlink"/>
            <w:rFonts w:ascii="Garamond" w:hAnsi="Garamond"/>
          </w:rPr>
          <w:t xml:space="preserve"> Women</w:t>
        </w:r>
      </w:hyperlink>
      <w:r w:rsidRPr="003137F9">
        <w:rPr>
          <w:rFonts w:ascii="Garamond" w:hAnsi="Garamond"/>
        </w:rPr>
        <w:t>, Fact Sheet.</w:t>
      </w:r>
    </w:p>
  </w:endnote>
  <w:endnote w:id="20">
    <w:p w:rsidR="004A38C5" w:rsidRPr="003137F9" w:rsidRDefault="004A38C5"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World Health Organization (2005), </w:t>
      </w:r>
      <w:r w:rsidRPr="003137F9">
        <w:rPr>
          <w:rFonts w:ascii="Garamond" w:hAnsi="Garamond"/>
          <w:i/>
        </w:rPr>
        <w:t xml:space="preserve">WHO Multi-country Study on Women’s Health and Domestic Violence </w:t>
      </w:r>
      <w:proofErr w:type="gramStart"/>
      <w:r w:rsidRPr="003137F9">
        <w:rPr>
          <w:rFonts w:ascii="Garamond" w:hAnsi="Garamond"/>
          <w:i/>
        </w:rPr>
        <w:t>Against</w:t>
      </w:r>
      <w:proofErr w:type="gramEnd"/>
      <w:r w:rsidRPr="003137F9">
        <w:rPr>
          <w:rFonts w:ascii="Garamond" w:hAnsi="Garamond"/>
          <w:i/>
        </w:rPr>
        <w:t xml:space="preserve"> Women: Initial results on prevalence, health outcomes and women’s responses</w:t>
      </w:r>
      <w:r w:rsidRPr="003137F9">
        <w:rPr>
          <w:rFonts w:ascii="Garamond" w:hAnsi="Garamond"/>
        </w:rPr>
        <w:t>.</w:t>
      </w:r>
    </w:p>
  </w:endnote>
  <w:endnote w:id="21">
    <w:p w:rsidR="004A38C5" w:rsidRPr="003137F9" w:rsidRDefault="004A38C5"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Michelle C. Black and others (November 2011), </w:t>
      </w:r>
      <w:hyperlink r:id="rId13" w:history="1">
        <w:r w:rsidRPr="003137F9">
          <w:rPr>
            <w:rStyle w:val="Hyperlink"/>
            <w:rFonts w:ascii="Garamond" w:hAnsi="Garamond"/>
            <w:i/>
          </w:rPr>
          <w:t>The National Intimate Partner and Sexual Violence Survey: 2010 Summary Report</w:t>
        </w:r>
      </w:hyperlink>
      <w:r w:rsidRPr="003137F9">
        <w:rPr>
          <w:rFonts w:ascii="Garamond" w:hAnsi="Garamond"/>
        </w:rPr>
        <w:t>, Executive Summary, Centers for Disease Control and Prevention, p. 2.</w:t>
      </w:r>
    </w:p>
  </w:endnote>
  <w:endnote w:id="22">
    <w:p w:rsidR="00C748CA" w:rsidRPr="003137F9" w:rsidRDefault="00C748CA"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Michael Kaufman and Gary Barker (November 25, 2013), “</w:t>
      </w:r>
      <w:hyperlink r:id="rId14" w:history="1">
        <w:r w:rsidRPr="003137F9">
          <w:rPr>
            <w:rStyle w:val="Hyperlink"/>
            <w:rFonts w:ascii="Garamond" w:hAnsi="Garamond"/>
          </w:rPr>
          <w:t>We must enlist men and boys in the fight to end violence against women,</w:t>
        </w:r>
      </w:hyperlink>
      <w:r w:rsidRPr="003137F9">
        <w:rPr>
          <w:rFonts w:ascii="Garamond" w:hAnsi="Garamond"/>
        </w:rPr>
        <w:t xml:space="preserve">” </w:t>
      </w:r>
      <w:r w:rsidR="003C2E3E" w:rsidRPr="003137F9">
        <w:rPr>
          <w:rFonts w:ascii="Garamond" w:hAnsi="Garamond"/>
          <w:i/>
          <w:iCs/>
        </w:rPr>
        <w:t>The Gua</w:t>
      </w:r>
      <w:r w:rsidRPr="003137F9">
        <w:rPr>
          <w:rFonts w:ascii="Garamond" w:hAnsi="Garamond"/>
          <w:i/>
          <w:iCs/>
        </w:rPr>
        <w:t>rdian</w:t>
      </w:r>
      <w:r w:rsidRPr="003137F9">
        <w:rPr>
          <w:rFonts w:ascii="Garamond" w:hAnsi="Garamond"/>
        </w:rPr>
        <w:t>.</w:t>
      </w:r>
    </w:p>
  </w:endnote>
  <w:endnote w:id="23">
    <w:p w:rsidR="00C748CA" w:rsidRPr="003137F9" w:rsidRDefault="00C748CA"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Josh </w:t>
      </w:r>
      <w:proofErr w:type="spellStart"/>
      <w:r w:rsidRPr="003137F9">
        <w:rPr>
          <w:rFonts w:ascii="Garamond" w:hAnsi="Garamond"/>
        </w:rPr>
        <w:t>Bivens</w:t>
      </w:r>
      <w:proofErr w:type="spellEnd"/>
      <w:r w:rsidRPr="003137F9">
        <w:rPr>
          <w:rFonts w:ascii="Garamond" w:hAnsi="Garamond"/>
        </w:rPr>
        <w:t xml:space="preserve">, Elise Gould, Lawrence </w:t>
      </w:r>
      <w:proofErr w:type="spellStart"/>
      <w:r w:rsidRPr="003137F9">
        <w:rPr>
          <w:rFonts w:ascii="Garamond" w:hAnsi="Garamond"/>
        </w:rPr>
        <w:t>Mishel</w:t>
      </w:r>
      <w:proofErr w:type="spellEnd"/>
      <w:r w:rsidRPr="003137F9">
        <w:rPr>
          <w:rFonts w:ascii="Garamond" w:hAnsi="Garamond"/>
        </w:rPr>
        <w:t xml:space="preserve">, and Heidi </w:t>
      </w:r>
      <w:proofErr w:type="spellStart"/>
      <w:r w:rsidRPr="003137F9">
        <w:rPr>
          <w:rFonts w:ascii="Garamond" w:hAnsi="Garamond"/>
        </w:rPr>
        <w:t>Shierholz</w:t>
      </w:r>
      <w:proofErr w:type="spellEnd"/>
      <w:r w:rsidRPr="003137F9">
        <w:rPr>
          <w:rFonts w:ascii="Garamond" w:hAnsi="Garamond"/>
        </w:rPr>
        <w:t xml:space="preserve"> (June 2014), “Raising America’s Pay: Why It’s Our Central Economic Policy Challenge,” Economic Policy Institute.</w:t>
      </w:r>
    </w:p>
  </w:endnote>
  <w:endnote w:id="24">
    <w:p w:rsidR="00C748CA" w:rsidRPr="003137F9" w:rsidRDefault="00C748CA"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American Association of University Women (March 18, 2013), “</w:t>
      </w:r>
      <w:hyperlink r:id="rId15" w:history="1">
        <w:r w:rsidRPr="003137F9">
          <w:rPr>
            <w:rStyle w:val="Hyperlink"/>
            <w:rFonts w:ascii="Garamond" w:hAnsi="Garamond"/>
          </w:rPr>
          <w:t>50 Years after the Equal Pay Act, Parity Eludes Us</w:t>
        </w:r>
      </w:hyperlink>
      <w:r w:rsidRPr="003137F9">
        <w:rPr>
          <w:rFonts w:ascii="Garamond" w:hAnsi="Garamond"/>
        </w:rPr>
        <w:t xml:space="preserve">.” </w:t>
      </w:r>
    </w:p>
  </w:endnote>
  <w:endnote w:id="25">
    <w:p w:rsidR="00C748CA" w:rsidRPr="003137F9" w:rsidRDefault="00C748CA"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U.S. Census Bureau (2014), </w:t>
      </w:r>
      <w:r w:rsidRPr="003137F9">
        <w:rPr>
          <w:rFonts w:ascii="Garamond" w:hAnsi="Garamond"/>
          <w:i/>
        </w:rPr>
        <w:t>Current Population Survey</w:t>
      </w:r>
      <w:r w:rsidRPr="003137F9">
        <w:rPr>
          <w:rFonts w:ascii="Garamond" w:hAnsi="Garamond"/>
        </w:rPr>
        <w:t>.</w:t>
      </w:r>
    </w:p>
  </w:endnote>
  <w:endnote w:id="26">
    <w:p w:rsidR="005E32FC" w:rsidRPr="003137F9" w:rsidRDefault="005E32FC"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w:t>
      </w:r>
      <w:r w:rsidR="003C2E3E" w:rsidRPr="003137F9">
        <w:rPr>
          <w:rFonts w:ascii="Garamond" w:hAnsi="Garamond"/>
        </w:rPr>
        <w:t>Heidi Hartmann, Jeff H</w:t>
      </w:r>
      <w:r w:rsidRPr="003137F9">
        <w:rPr>
          <w:rFonts w:ascii="Garamond" w:hAnsi="Garamond"/>
        </w:rPr>
        <w:t xml:space="preserve">ayes, and Jennifer Clark (January 2014), </w:t>
      </w:r>
      <w:hyperlink r:id="rId16" w:history="1">
        <w:r w:rsidRPr="003137F9">
          <w:rPr>
            <w:rStyle w:val="Hyperlink"/>
            <w:rFonts w:ascii="Garamond" w:hAnsi="Garamond"/>
            <w:i/>
          </w:rPr>
          <w:t>How Equal Pay for Working Women would Reduce Poverty and Grow the American Economy</w:t>
        </w:r>
      </w:hyperlink>
      <w:r w:rsidRPr="003137F9">
        <w:rPr>
          <w:rFonts w:ascii="Garamond" w:hAnsi="Garamond"/>
        </w:rPr>
        <w:t>, Institute for Women’s Policy Research.</w:t>
      </w:r>
    </w:p>
  </w:endnote>
  <w:endnote w:id="27">
    <w:p w:rsidR="005E32FC" w:rsidRPr="003137F9" w:rsidRDefault="005E32FC" w:rsidP="005E32FC">
      <w:pPr>
        <w:pStyle w:val="EndnoteText"/>
        <w:rPr>
          <w:rFonts w:ascii="Garamond" w:hAnsi="Garamond"/>
        </w:rPr>
      </w:pPr>
      <w:r w:rsidRPr="003137F9">
        <w:rPr>
          <w:rStyle w:val="EndnoteReference"/>
          <w:rFonts w:ascii="Garamond" w:hAnsi="Garamond"/>
        </w:rPr>
        <w:endnoteRef/>
      </w:r>
      <w:r w:rsidR="003C2E3E" w:rsidRPr="003137F9">
        <w:rPr>
          <w:rFonts w:ascii="Garamond" w:hAnsi="Garamond"/>
        </w:rPr>
        <w:t xml:space="preserve"> Heidi Hartmann, Jeff H</w:t>
      </w:r>
      <w:r w:rsidRPr="003137F9">
        <w:rPr>
          <w:rFonts w:ascii="Garamond" w:hAnsi="Garamond"/>
        </w:rPr>
        <w:t xml:space="preserve">ayes, and Jennifer Clark (January 2014), </w:t>
      </w:r>
      <w:hyperlink r:id="rId17" w:history="1">
        <w:r w:rsidRPr="003137F9">
          <w:rPr>
            <w:rStyle w:val="Hyperlink"/>
            <w:rFonts w:ascii="Garamond" w:hAnsi="Garamond"/>
            <w:i/>
          </w:rPr>
          <w:t>How Equal Pay for Working Women would Reduce Poverty and Grow the American Economy</w:t>
        </w:r>
      </w:hyperlink>
      <w:r w:rsidRPr="003137F9">
        <w:rPr>
          <w:rFonts w:ascii="Garamond" w:hAnsi="Garamond"/>
        </w:rPr>
        <w:t>, Institute for Women’s Policy Research.</w:t>
      </w:r>
    </w:p>
  </w:endnote>
  <w:endnote w:id="28">
    <w:p w:rsidR="005E32FC" w:rsidRPr="003137F9" w:rsidRDefault="005E32FC"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Lawrence </w:t>
      </w:r>
      <w:proofErr w:type="spellStart"/>
      <w:r w:rsidRPr="003137F9">
        <w:rPr>
          <w:rFonts w:ascii="Garamond" w:hAnsi="Garamond"/>
        </w:rPr>
        <w:t>Mishel</w:t>
      </w:r>
      <w:proofErr w:type="spellEnd"/>
      <w:r w:rsidRPr="003137F9">
        <w:rPr>
          <w:rFonts w:ascii="Garamond" w:hAnsi="Garamond"/>
        </w:rPr>
        <w:t xml:space="preserve">, Josh </w:t>
      </w:r>
      <w:proofErr w:type="spellStart"/>
      <w:r w:rsidRPr="003137F9">
        <w:rPr>
          <w:rFonts w:ascii="Garamond" w:hAnsi="Garamond"/>
        </w:rPr>
        <w:t>Bivens</w:t>
      </w:r>
      <w:proofErr w:type="spellEnd"/>
      <w:r w:rsidRPr="003137F9">
        <w:rPr>
          <w:rFonts w:ascii="Garamond" w:hAnsi="Garamond"/>
        </w:rPr>
        <w:t xml:space="preserve">, Elise Gould and Heidi </w:t>
      </w:r>
      <w:proofErr w:type="spellStart"/>
      <w:r w:rsidRPr="003137F9">
        <w:rPr>
          <w:rFonts w:ascii="Garamond" w:hAnsi="Garamond"/>
        </w:rPr>
        <w:t>Shierholz</w:t>
      </w:r>
      <w:proofErr w:type="spellEnd"/>
      <w:r w:rsidRPr="003137F9">
        <w:rPr>
          <w:rFonts w:ascii="Garamond" w:hAnsi="Garamond"/>
        </w:rPr>
        <w:t xml:space="preserve"> (2012), </w:t>
      </w:r>
      <w:r w:rsidRPr="003137F9">
        <w:rPr>
          <w:rFonts w:ascii="Garamond" w:hAnsi="Garamond"/>
          <w:i/>
        </w:rPr>
        <w:t>The State of Working America, 12</w:t>
      </w:r>
      <w:r w:rsidRPr="003137F9">
        <w:rPr>
          <w:rFonts w:ascii="Garamond" w:hAnsi="Garamond"/>
          <w:i/>
          <w:vertAlign w:val="superscript"/>
        </w:rPr>
        <w:t>th</w:t>
      </w:r>
      <w:r w:rsidRPr="003137F9">
        <w:rPr>
          <w:rFonts w:ascii="Garamond" w:hAnsi="Garamond"/>
          <w:i/>
        </w:rPr>
        <w:t xml:space="preserve"> edition</w:t>
      </w:r>
      <w:r w:rsidRPr="003137F9">
        <w:rPr>
          <w:rFonts w:ascii="Garamond" w:hAnsi="Garamond"/>
        </w:rPr>
        <w:t xml:space="preserve">, Economic Policy Institute, </w:t>
      </w:r>
      <w:hyperlink r:id="rId18" w:history="1">
        <w:r w:rsidRPr="003137F9">
          <w:rPr>
            <w:rStyle w:val="Hyperlink"/>
            <w:rFonts w:ascii="Garamond" w:hAnsi="Garamond"/>
          </w:rPr>
          <w:t>share of workers with paid leave, by wage group, 2011</w:t>
        </w:r>
      </w:hyperlink>
      <w:r w:rsidRPr="003137F9">
        <w:rPr>
          <w:rFonts w:ascii="Garamond" w:hAnsi="Garamond"/>
        </w:rPr>
        <w:t>.</w:t>
      </w:r>
    </w:p>
  </w:endnote>
  <w:endnote w:id="29">
    <w:p w:rsidR="005E32FC" w:rsidRPr="003137F9" w:rsidRDefault="005E32FC" w:rsidP="005E32FC">
      <w:pPr>
        <w:pStyle w:val="EndnoteText"/>
        <w:rPr>
          <w:rFonts w:ascii="Garamond" w:hAnsi="Garamond"/>
        </w:rPr>
      </w:pPr>
      <w:r w:rsidRPr="003137F9">
        <w:rPr>
          <w:rStyle w:val="EndnoteReference"/>
          <w:rFonts w:ascii="Garamond" w:hAnsi="Garamond"/>
        </w:rPr>
        <w:endnoteRef/>
      </w:r>
      <w:r w:rsidRPr="003137F9">
        <w:rPr>
          <w:rFonts w:ascii="Garamond" w:hAnsi="Garamond"/>
        </w:rPr>
        <w:t xml:space="preserve"> </w:t>
      </w:r>
      <w:r w:rsidRPr="003137F9">
        <w:rPr>
          <w:rFonts w:ascii="Garamond" w:hAnsi="Garamond"/>
          <w:i/>
        </w:rPr>
        <w:t xml:space="preserve">The Shriver Report: A Woman’s Nation Pushes </w:t>
      </w:r>
      <w:proofErr w:type="gramStart"/>
      <w:r w:rsidRPr="003137F9">
        <w:rPr>
          <w:rFonts w:ascii="Garamond" w:hAnsi="Garamond"/>
          <w:i/>
        </w:rPr>
        <w:t>Back</w:t>
      </w:r>
      <w:proofErr w:type="gramEnd"/>
      <w:r w:rsidRPr="003137F9">
        <w:rPr>
          <w:rFonts w:ascii="Garamond" w:hAnsi="Garamond"/>
          <w:i/>
        </w:rPr>
        <w:t xml:space="preserve"> from the Brink</w:t>
      </w:r>
      <w:r w:rsidRPr="003137F9">
        <w:rPr>
          <w:rFonts w:ascii="Garamond" w:hAnsi="Garamond"/>
        </w:rPr>
        <w:t xml:space="preserve"> (2014), p. 104. </w:t>
      </w:r>
    </w:p>
  </w:endnote>
  <w:endnote w:id="30">
    <w:p w:rsidR="005E32FC" w:rsidRPr="00FD513E" w:rsidRDefault="005E32FC" w:rsidP="005E32FC">
      <w:pPr>
        <w:pStyle w:val="EndnoteText"/>
        <w:rPr>
          <w:rFonts w:ascii="Calibri" w:hAnsi="Calibri"/>
        </w:rPr>
      </w:pPr>
      <w:r w:rsidRPr="003137F9">
        <w:rPr>
          <w:rStyle w:val="EndnoteReference"/>
          <w:rFonts w:ascii="Garamond" w:hAnsi="Garamond"/>
        </w:rPr>
        <w:endnoteRef/>
      </w:r>
      <w:r w:rsidRPr="003137F9">
        <w:rPr>
          <w:rFonts w:ascii="Garamond" w:hAnsi="Garamond"/>
        </w:rPr>
        <w:t xml:space="preserve"> Center for American Women and Politics (May 2014), “</w:t>
      </w:r>
      <w:hyperlink r:id="rId19" w:history="1">
        <w:r w:rsidRPr="003137F9">
          <w:rPr>
            <w:rStyle w:val="Hyperlink"/>
            <w:rFonts w:ascii="Garamond" w:hAnsi="Garamond"/>
          </w:rPr>
          <w:t>Fact Sheet: Women in the U.S. Congress 2014</w:t>
        </w:r>
      </w:hyperlink>
      <w:r w:rsidRPr="003137F9">
        <w:rPr>
          <w:rFonts w:ascii="Garamond" w:hAnsi="Garamond"/>
        </w:rPr>
        <w:t>,” Rutgers University.</w:t>
      </w:r>
      <w:r w:rsidRPr="00FD513E">
        <w:rPr>
          <w:rFonts w:ascii="Calibri" w:hAnsi="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hitney-Book">
    <w:panose1 w:val="00000000000000000000"/>
    <w:charset w:val="00"/>
    <w:family w:val="swiss"/>
    <w:notTrueType/>
    <w:pitch w:val="default"/>
    <w:sig w:usb0="00000003" w:usb1="00000000" w:usb2="00000000" w:usb3="00000000" w:csb0="00000001" w:csb1="00000000"/>
  </w:font>
  <w:font w:name="FrutigerNeueLTCYR-Light">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rialMTStd-LightCond">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inion-Regular">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D6" w:rsidRDefault="00235DD6" w:rsidP="00850E92">
      <w:pPr>
        <w:spacing w:after="0" w:line="240" w:lineRule="auto"/>
      </w:pPr>
      <w:r>
        <w:separator/>
      </w:r>
    </w:p>
  </w:footnote>
  <w:footnote w:type="continuationSeparator" w:id="0">
    <w:p w:rsidR="00235DD6" w:rsidRDefault="00235DD6" w:rsidP="00850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7474D"/>
    <w:multiLevelType w:val="hybridMultilevel"/>
    <w:tmpl w:val="882C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E4"/>
    <w:rsid w:val="00075231"/>
    <w:rsid w:val="00096588"/>
    <w:rsid w:val="000F0F3E"/>
    <w:rsid w:val="00116025"/>
    <w:rsid w:val="00163ABB"/>
    <w:rsid w:val="001A23DF"/>
    <w:rsid w:val="001A78A6"/>
    <w:rsid w:val="001B0601"/>
    <w:rsid w:val="001B5D40"/>
    <w:rsid w:val="001D0A29"/>
    <w:rsid w:val="001F45BC"/>
    <w:rsid w:val="00223FC8"/>
    <w:rsid w:val="00232977"/>
    <w:rsid w:val="00235DD6"/>
    <w:rsid w:val="00255319"/>
    <w:rsid w:val="002A2EBB"/>
    <w:rsid w:val="002F24D5"/>
    <w:rsid w:val="003137F9"/>
    <w:rsid w:val="003158F5"/>
    <w:rsid w:val="003C2E3E"/>
    <w:rsid w:val="003D19D9"/>
    <w:rsid w:val="003E0C7A"/>
    <w:rsid w:val="003E1E57"/>
    <w:rsid w:val="004545E5"/>
    <w:rsid w:val="004623F5"/>
    <w:rsid w:val="00480BD8"/>
    <w:rsid w:val="0048474D"/>
    <w:rsid w:val="004912EF"/>
    <w:rsid w:val="004A38C5"/>
    <w:rsid w:val="004A6A45"/>
    <w:rsid w:val="004B11B0"/>
    <w:rsid w:val="004E6EAD"/>
    <w:rsid w:val="00512D93"/>
    <w:rsid w:val="00521A40"/>
    <w:rsid w:val="005301CD"/>
    <w:rsid w:val="005941CB"/>
    <w:rsid w:val="005A03C1"/>
    <w:rsid w:val="005C3482"/>
    <w:rsid w:val="005C3B65"/>
    <w:rsid w:val="005E32FC"/>
    <w:rsid w:val="005F5F6B"/>
    <w:rsid w:val="006432A1"/>
    <w:rsid w:val="006908E8"/>
    <w:rsid w:val="006956D5"/>
    <w:rsid w:val="006C0BB0"/>
    <w:rsid w:val="006F1D7F"/>
    <w:rsid w:val="006F2674"/>
    <w:rsid w:val="00741106"/>
    <w:rsid w:val="007810CF"/>
    <w:rsid w:val="00797095"/>
    <w:rsid w:val="0080272C"/>
    <w:rsid w:val="00814D8E"/>
    <w:rsid w:val="008300E4"/>
    <w:rsid w:val="008457BA"/>
    <w:rsid w:val="00850E92"/>
    <w:rsid w:val="008538BC"/>
    <w:rsid w:val="008620D0"/>
    <w:rsid w:val="008976DE"/>
    <w:rsid w:val="008A5107"/>
    <w:rsid w:val="008C7766"/>
    <w:rsid w:val="008E491F"/>
    <w:rsid w:val="008F46BE"/>
    <w:rsid w:val="00944CEE"/>
    <w:rsid w:val="00A24001"/>
    <w:rsid w:val="00A261F4"/>
    <w:rsid w:val="00A47BB9"/>
    <w:rsid w:val="00A67780"/>
    <w:rsid w:val="00A763FA"/>
    <w:rsid w:val="00AA407B"/>
    <w:rsid w:val="00B37EE3"/>
    <w:rsid w:val="00B619B7"/>
    <w:rsid w:val="00BE5F35"/>
    <w:rsid w:val="00C21592"/>
    <w:rsid w:val="00C73C3F"/>
    <w:rsid w:val="00C748CA"/>
    <w:rsid w:val="00C824AF"/>
    <w:rsid w:val="00C83C43"/>
    <w:rsid w:val="00CA2571"/>
    <w:rsid w:val="00CF0D0E"/>
    <w:rsid w:val="00D54AE7"/>
    <w:rsid w:val="00DB4DA0"/>
    <w:rsid w:val="00E17337"/>
    <w:rsid w:val="00E27B3D"/>
    <w:rsid w:val="00E579DA"/>
    <w:rsid w:val="00E70DE3"/>
    <w:rsid w:val="00E74D07"/>
    <w:rsid w:val="00EA0C51"/>
    <w:rsid w:val="00EA558A"/>
    <w:rsid w:val="00EC78CE"/>
    <w:rsid w:val="00EE3EF5"/>
    <w:rsid w:val="00EF0E5D"/>
    <w:rsid w:val="00EF5040"/>
    <w:rsid w:val="00F11253"/>
    <w:rsid w:val="00F64CC9"/>
    <w:rsid w:val="00FB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50E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0E92"/>
    <w:rPr>
      <w:sz w:val="20"/>
      <w:szCs w:val="20"/>
    </w:rPr>
  </w:style>
  <w:style w:type="character" w:styleId="EndnoteReference">
    <w:name w:val="endnote reference"/>
    <w:basedOn w:val="DefaultParagraphFont"/>
    <w:uiPriority w:val="99"/>
    <w:unhideWhenUsed/>
    <w:rsid w:val="00850E92"/>
    <w:rPr>
      <w:vertAlign w:val="superscript"/>
    </w:rPr>
  </w:style>
  <w:style w:type="character" w:styleId="Hyperlink">
    <w:name w:val="Hyperlink"/>
    <w:basedOn w:val="DefaultParagraphFont"/>
    <w:uiPriority w:val="99"/>
    <w:unhideWhenUsed/>
    <w:rsid w:val="00850E92"/>
    <w:rPr>
      <w:color w:val="0000FF" w:themeColor="hyperlink"/>
      <w:u w:val="single"/>
    </w:rPr>
  </w:style>
  <w:style w:type="character" w:styleId="Strong">
    <w:name w:val="Strong"/>
    <w:basedOn w:val="DefaultParagraphFont"/>
    <w:uiPriority w:val="22"/>
    <w:qFormat/>
    <w:rsid w:val="00B37EE3"/>
    <w:rPr>
      <w:b/>
      <w:bCs/>
    </w:rPr>
  </w:style>
  <w:style w:type="paragraph" w:styleId="ListParagraph">
    <w:name w:val="List Paragraph"/>
    <w:basedOn w:val="Normal"/>
    <w:uiPriority w:val="34"/>
    <w:qFormat/>
    <w:rsid w:val="003E0C7A"/>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976DE"/>
    <w:rPr>
      <w:color w:val="800080" w:themeColor="followedHyperlink"/>
      <w:u w:val="single"/>
    </w:rPr>
  </w:style>
  <w:style w:type="paragraph" w:styleId="BalloonText">
    <w:name w:val="Balloon Text"/>
    <w:basedOn w:val="Normal"/>
    <w:link w:val="BalloonTextChar"/>
    <w:uiPriority w:val="99"/>
    <w:semiHidden/>
    <w:unhideWhenUsed/>
    <w:rsid w:val="00C7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C3F"/>
    <w:rPr>
      <w:rFonts w:ascii="Tahoma" w:hAnsi="Tahoma" w:cs="Tahoma"/>
      <w:sz w:val="16"/>
      <w:szCs w:val="16"/>
    </w:rPr>
  </w:style>
  <w:style w:type="paragraph" w:styleId="Header">
    <w:name w:val="header"/>
    <w:basedOn w:val="Normal"/>
    <w:link w:val="HeaderChar"/>
    <w:uiPriority w:val="99"/>
    <w:unhideWhenUsed/>
    <w:rsid w:val="00484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4D"/>
  </w:style>
  <w:style w:type="paragraph" w:styleId="Footer">
    <w:name w:val="footer"/>
    <w:basedOn w:val="Normal"/>
    <w:link w:val="FooterChar"/>
    <w:uiPriority w:val="99"/>
    <w:unhideWhenUsed/>
    <w:rsid w:val="00484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50E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0E92"/>
    <w:rPr>
      <w:sz w:val="20"/>
      <w:szCs w:val="20"/>
    </w:rPr>
  </w:style>
  <w:style w:type="character" w:styleId="EndnoteReference">
    <w:name w:val="endnote reference"/>
    <w:basedOn w:val="DefaultParagraphFont"/>
    <w:uiPriority w:val="99"/>
    <w:unhideWhenUsed/>
    <w:rsid w:val="00850E92"/>
    <w:rPr>
      <w:vertAlign w:val="superscript"/>
    </w:rPr>
  </w:style>
  <w:style w:type="character" w:styleId="Hyperlink">
    <w:name w:val="Hyperlink"/>
    <w:basedOn w:val="DefaultParagraphFont"/>
    <w:uiPriority w:val="99"/>
    <w:unhideWhenUsed/>
    <w:rsid w:val="00850E92"/>
    <w:rPr>
      <w:color w:val="0000FF" w:themeColor="hyperlink"/>
      <w:u w:val="single"/>
    </w:rPr>
  </w:style>
  <w:style w:type="character" w:styleId="Strong">
    <w:name w:val="Strong"/>
    <w:basedOn w:val="DefaultParagraphFont"/>
    <w:uiPriority w:val="22"/>
    <w:qFormat/>
    <w:rsid w:val="00B37EE3"/>
    <w:rPr>
      <w:b/>
      <w:bCs/>
    </w:rPr>
  </w:style>
  <w:style w:type="paragraph" w:styleId="ListParagraph">
    <w:name w:val="List Paragraph"/>
    <w:basedOn w:val="Normal"/>
    <w:uiPriority w:val="34"/>
    <w:qFormat/>
    <w:rsid w:val="003E0C7A"/>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976DE"/>
    <w:rPr>
      <w:color w:val="800080" w:themeColor="followedHyperlink"/>
      <w:u w:val="single"/>
    </w:rPr>
  </w:style>
  <w:style w:type="paragraph" w:styleId="BalloonText">
    <w:name w:val="Balloon Text"/>
    <w:basedOn w:val="Normal"/>
    <w:link w:val="BalloonTextChar"/>
    <w:uiPriority w:val="99"/>
    <w:semiHidden/>
    <w:unhideWhenUsed/>
    <w:rsid w:val="00C7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C3F"/>
    <w:rPr>
      <w:rFonts w:ascii="Tahoma" w:hAnsi="Tahoma" w:cs="Tahoma"/>
      <w:sz w:val="16"/>
      <w:szCs w:val="16"/>
    </w:rPr>
  </w:style>
  <w:style w:type="paragraph" w:styleId="Header">
    <w:name w:val="header"/>
    <w:basedOn w:val="Normal"/>
    <w:link w:val="HeaderChar"/>
    <w:uiPriority w:val="99"/>
    <w:unhideWhenUsed/>
    <w:rsid w:val="00484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4D"/>
  </w:style>
  <w:style w:type="paragraph" w:styleId="Footer">
    <w:name w:val="footer"/>
    <w:basedOn w:val="Normal"/>
    <w:link w:val="FooterChar"/>
    <w:uiPriority w:val="99"/>
    <w:unhideWhenUsed/>
    <w:rsid w:val="00484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522">
      <w:bodyDiv w:val="1"/>
      <w:marLeft w:val="0"/>
      <w:marRight w:val="0"/>
      <w:marTop w:val="0"/>
      <w:marBottom w:val="0"/>
      <w:divBdr>
        <w:top w:val="none" w:sz="0" w:space="0" w:color="auto"/>
        <w:left w:val="none" w:sz="0" w:space="0" w:color="auto"/>
        <w:bottom w:val="none" w:sz="0" w:space="0" w:color="auto"/>
        <w:right w:val="none" w:sz="0" w:space="0" w:color="auto"/>
      </w:divBdr>
    </w:div>
    <w:div w:id="1521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unwater.org/fileadmin/user_upload/unwater_new/docs/water_and_gender.pdf" TargetMode="External"/><Relationship Id="rId13" Type="http://schemas.openxmlformats.org/officeDocument/2006/relationships/hyperlink" Target="http://www.cdc.gov/violenceprevention/pdf/nisvs_executive_summary-a.pdf" TargetMode="External"/><Relationship Id="rId18" Type="http://schemas.openxmlformats.org/officeDocument/2006/relationships/hyperlink" Target="http://stateofworkingamerica.org/chart/swa-wages-table-4-12-share-workers-paid/" TargetMode="External"/><Relationship Id="rId3" Type="http://schemas.openxmlformats.org/officeDocument/2006/relationships/hyperlink" Target="http://siteresources.worldbank.org/INTWDR2012/Resources/7778105-1299699968583/7786210-1315936222006/Complete-Report.pdf" TargetMode="External"/><Relationship Id="rId7" Type="http://schemas.openxmlformats.org/officeDocument/2006/relationships/hyperlink" Target="http://www.savethechildren.org/atf/cf/%7B9def2ebe-10ae-432c-9bd0-df91d2eba74a%7D/EVERY_WOMANS_RIGHT_REPORT_JUNE_2012.PDF" TargetMode="External"/><Relationship Id="rId12" Type="http://schemas.openxmlformats.org/officeDocument/2006/relationships/hyperlink" Target="http://www.un.org/en/women/endviolence/pdf/VAW.pdf" TargetMode="External"/><Relationship Id="rId17" Type="http://schemas.openxmlformats.org/officeDocument/2006/relationships/hyperlink" Target="http://www.iwpr.org/publications/pubs/how-equal-pay-for-working-women-would-reduce-poverty-and-grow-the-american-economy" TargetMode="External"/><Relationship Id="rId2" Type="http://schemas.openxmlformats.org/officeDocument/2006/relationships/hyperlink" Target="http://www.uis.unesco.org/Education/Pages/gender-education.aspx" TargetMode="External"/><Relationship Id="rId16" Type="http://schemas.openxmlformats.org/officeDocument/2006/relationships/hyperlink" Target="http://www.iwpr.org/publications/pubs/how-equal-pay-for-working-women-would-reduce-poverty-and-grow-the-american-economy" TargetMode="External"/><Relationship Id="rId1" Type="http://schemas.openxmlformats.org/officeDocument/2006/relationships/hyperlink" Target="http://www.ifpri.org/sites/default/files/pubs/pubs/abstract/111/rr111.pdf" TargetMode="External"/><Relationship Id="rId6" Type="http://schemas.openxmlformats.org/officeDocument/2006/relationships/hyperlink" Target="http://www.unfpa.org/webdav/site/global/shared/documents/publications/2012/MarryingTooYoung.pdf" TargetMode="External"/><Relationship Id="rId11" Type="http://schemas.openxmlformats.org/officeDocument/2006/relationships/hyperlink" Target="http://www.unwomen.org/~/media/Headquarters/Media/Publications/en/03AWomenPeaceNeg.pdf" TargetMode="External"/><Relationship Id="rId5" Type="http://schemas.openxmlformats.org/officeDocument/2006/relationships/hyperlink" Target="http://www.girlsnotbrides.org/where-does-it-happen/" TargetMode="External"/><Relationship Id="rId15" Type="http://schemas.openxmlformats.org/officeDocument/2006/relationships/hyperlink" Target="http://www.aauw.org/article/50-years-after-the-equal-pay-act-parity-eludes-us/" TargetMode="External"/><Relationship Id="rId10" Type="http://schemas.openxmlformats.org/officeDocument/2006/relationships/hyperlink" Target="http://wdi.worldbank.org/table/1.5" TargetMode="External"/><Relationship Id="rId19" Type="http://schemas.openxmlformats.org/officeDocument/2006/relationships/hyperlink" Target="http://www.cawp.rutgers.edu/fast_facts/levels_of_office/documents/elective.pdf" TargetMode="External"/><Relationship Id="rId4" Type="http://schemas.openxmlformats.org/officeDocument/2006/relationships/hyperlink" Target="http://www.worldbank.org/en/news/speech/2014/03/05/remarks-world-bank-group-president-jim-yong-kim-gender" TargetMode="External"/><Relationship Id="rId9" Type="http://schemas.openxmlformats.org/officeDocument/2006/relationships/hyperlink" Target="http://siteresources.worldbank.org/INTWDR2012/Resources/7778105-1299699968583/7786210-1315936222006/Complete-Report.pdf" TargetMode="External"/><Relationship Id="rId14" Type="http://schemas.openxmlformats.org/officeDocument/2006/relationships/hyperlink" Target="http://www.theguardian.com/commentisfree/2013/nov/25/boys-men-end-violence-women-clare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9071-1338-4CF7-84AA-D4A6FF75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Bread for the World</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tpost</dc:creator>
  <cp:lastModifiedBy>Cheryle Adams</cp:lastModifiedBy>
  <cp:revision>3</cp:revision>
  <dcterms:created xsi:type="dcterms:W3CDTF">2014-11-19T14:14:00Z</dcterms:created>
  <dcterms:modified xsi:type="dcterms:W3CDTF">2014-11-21T18:31:00Z</dcterms:modified>
</cp:coreProperties>
</file>